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EE" w:rsidRPr="00534854" w:rsidRDefault="000D5EEE" w:rsidP="00534854">
      <w:pPr>
        <w:pStyle w:val="Textoindependiente"/>
        <w:widowControl/>
        <w:tabs>
          <w:tab w:val="left" w:pos="6521"/>
        </w:tabs>
        <w:suppressAutoHyphens w:val="0"/>
        <w:ind w:left="3828" w:right="2126" w:hanging="1134"/>
        <w:rPr>
          <w:rFonts w:cs="Tahoma"/>
          <w:i/>
          <w:sz w:val="20"/>
        </w:rPr>
      </w:pPr>
      <w:r w:rsidRPr="00534854">
        <w:rPr>
          <w:rFonts w:cs="Tahoma"/>
          <w:b/>
          <w:i/>
          <w:sz w:val="20"/>
        </w:rPr>
        <w:t>Sumilla</w:t>
      </w:r>
      <w:r w:rsidRPr="00534854">
        <w:rPr>
          <w:rFonts w:cs="Tahoma"/>
          <w:i/>
          <w:sz w:val="20"/>
        </w:rPr>
        <w:t xml:space="preserve">: </w:t>
      </w:r>
      <w:r w:rsidRPr="00534854">
        <w:rPr>
          <w:rFonts w:cs="Tahoma"/>
          <w:i/>
          <w:sz w:val="20"/>
        </w:rPr>
        <w:tab/>
      </w:r>
      <w:r w:rsidR="00534854" w:rsidRPr="00534854">
        <w:rPr>
          <w:rFonts w:cs="Tahoma"/>
          <w:i/>
          <w:sz w:val="20"/>
        </w:rPr>
        <w:t>L</w:t>
      </w:r>
      <w:r w:rsidR="00534854" w:rsidRPr="00534854">
        <w:rPr>
          <w:rFonts w:cs="Tahoma"/>
          <w:i/>
          <w:sz w:val="20"/>
          <w:lang w:val="es-MX"/>
        </w:rPr>
        <w:t xml:space="preserve">os documentos presentados y la información incluida en los escritos que presenten los administrados para la realización de procedimientos administrativos, </w:t>
      </w:r>
      <w:r w:rsidR="00534854" w:rsidRPr="00534854">
        <w:rPr>
          <w:rFonts w:cs="Tahoma"/>
          <w:bCs/>
          <w:i/>
          <w:sz w:val="20"/>
          <w:lang w:val="es-MX"/>
        </w:rPr>
        <w:t>se presumen verificados por quien hace uso de ellos, así como de contenido veraz para fines del procedimiento administrativo</w:t>
      </w:r>
      <w:r w:rsidRPr="00534854">
        <w:rPr>
          <w:rFonts w:cs="Tahoma"/>
          <w:i/>
          <w:sz w:val="20"/>
        </w:rPr>
        <w:t xml:space="preserve">.  </w:t>
      </w:r>
    </w:p>
    <w:p w:rsidR="000D5EEE" w:rsidRPr="000D5EEE" w:rsidRDefault="000D5EEE" w:rsidP="00534854">
      <w:pPr>
        <w:pStyle w:val="Textoindependiente"/>
        <w:widowControl/>
        <w:tabs>
          <w:tab w:val="left" w:pos="6804"/>
        </w:tabs>
        <w:suppressAutoHyphens w:val="0"/>
        <w:ind w:left="3544" w:right="1843" w:hanging="992"/>
        <w:rPr>
          <w:rFonts w:cs="Tahoma"/>
          <w:sz w:val="20"/>
        </w:rPr>
      </w:pPr>
      <w:r w:rsidRPr="000D5EEE">
        <w:rPr>
          <w:rFonts w:cs="Tahoma"/>
          <w:sz w:val="20"/>
        </w:rPr>
        <w:t xml:space="preserve"> </w:t>
      </w:r>
    </w:p>
    <w:p w:rsidR="000D5EEE" w:rsidRPr="000D5EEE" w:rsidRDefault="00A94545" w:rsidP="00534854">
      <w:pPr>
        <w:pStyle w:val="Textoindependiente3"/>
        <w:spacing w:after="0"/>
        <w:ind w:left="4956" w:firstLine="84"/>
        <w:jc w:val="both"/>
        <w:rPr>
          <w:rFonts w:ascii="Tahoma" w:hAnsi="Tahoma" w:cs="Tahoma"/>
          <w:b/>
          <w:sz w:val="20"/>
          <w:szCs w:val="20"/>
        </w:rPr>
      </w:pPr>
      <w:r>
        <w:rPr>
          <w:rFonts w:ascii="Tahoma" w:hAnsi="Tahoma" w:cs="Tahoma"/>
          <w:b/>
          <w:sz w:val="20"/>
          <w:szCs w:val="20"/>
        </w:rPr>
        <w:t xml:space="preserve">           </w:t>
      </w:r>
      <w:r w:rsidR="000D5EEE" w:rsidRPr="000D5EEE">
        <w:rPr>
          <w:rFonts w:ascii="Tahoma" w:hAnsi="Tahoma" w:cs="Tahoma"/>
          <w:b/>
          <w:sz w:val="20"/>
          <w:szCs w:val="20"/>
        </w:rPr>
        <w:t xml:space="preserve">Lima,  </w:t>
      </w:r>
      <w:r>
        <w:rPr>
          <w:rFonts w:ascii="Tahoma" w:hAnsi="Tahoma" w:cs="Tahoma"/>
          <w:b/>
          <w:sz w:val="20"/>
          <w:szCs w:val="20"/>
        </w:rPr>
        <w:t>15 de Febrero de 2011</w:t>
      </w:r>
    </w:p>
    <w:p w:rsidR="009D6201" w:rsidRDefault="009D6201" w:rsidP="00534854">
      <w:pPr>
        <w:jc w:val="both"/>
        <w:rPr>
          <w:rFonts w:ascii="Tahoma" w:hAnsi="Tahoma" w:cs="Tahoma"/>
          <w:b/>
        </w:rPr>
      </w:pPr>
    </w:p>
    <w:p w:rsidR="000D5EEE" w:rsidRPr="000D5EEE" w:rsidRDefault="000D5EEE" w:rsidP="00534854">
      <w:pPr>
        <w:jc w:val="both"/>
        <w:rPr>
          <w:rFonts w:ascii="Tahoma" w:hAnsi="Tahoma" w:cs="Tahoma"/>
        </w:rPr>
      </w:pPr>
      <w:r w:rsidRPr="000D5EEE">
        <w:rPr>
          <w:rFonts w:ascii="Tahoma" w:hAnsi="Tahoma" w:cs="Tahoma"/>
          <w:b/>
        </w:rPr>
        <w:t>Visto</w:t>
      </w:r>
      <w:r w:rsidRPr="000D5EEE">
        <w:rPr>
          <w:rFonts w:ascii="Tahoma" w:hAnsi="Tahoma" w:cs="Tahoma"/>
        </w:rPr>
        <w:t xml:space="preserve"> en sesión de fecha 1</w:t>
      </w:r>
      <w:r w:rsidR="009D6201">
        <w:rPr>
          <w:rFonts w:ascii="Tahoma" w:hAnsi="Tahoma" w:cs="Tahoma"/>
        </w:rPr>
        <w:t>4</w:t>
      </w:r>
      <w:r w:rsidRPr="000D5EEE">
        <w:rPr>
          <w:rFonts w:ascii="Tahoma" w:hAnsi="Tahoma" w:cs="Tahoma"/>
        </w:rPr>
        <w:t xml:space="preserve"> de </w:t>
      </w:r>
      <w:r w:rsidR="009D6201">
        <w:rPr>
          <w:rFonts w:ascii="Tahoma" w:hAnsi="Tahoma" w:cs="Tahoma"/>
        </w:rPr>
        <w:t>febrero</w:t>
      </w:r>
      <w:r w:rsidRPr="000D5EEE">
        <w:rPr>
          <w:rFonts w:ascii="Tahoma" w:hAnsi="Tahoma" w:cs="Tahoma"/>
        </w:rPr>
        <w:t xml:space="preserve"> de 2011 de la Primera Sala del Tribunal de Contrataciones del Estado el Expediente N° </w:t>
      </w:r>
      <w:r w:rsidR="009D6201">
        <w:rPr>
          <w:rFonts w:ascii="Tahoma" w:hAnsi="Tahoma" w:cs="Tahoma"/>
        </w:rPr>
        <w:t>613</w:t>
      </w:r>
      <w:r w:rsidRPr="000D5EEE">
        <w:rPr>
          <w:rFonts w:ascii="Tahoma" w:hAnsi="Tahoma" w:cs="Tahoma"/>
        </w:rPr>
        <w:t>.2010.TC, sobre el procedimiento de aplicación de sanción a</w:t>
      </w:r>
      <w:r w:rsidR="009D6201">
        <w:rPr>
          <w:rFonts w:ascii="Tahoma" w:hAnsi="Tahoma" w:cs="Tahoma"/>
        </w:rPr>
        <w:t>l</w:t>
      </w:r>
      <w:r w:rsidRPr="000D5EEE">
        <w:rPr>
          <w:rFonts w:ascii="Tahoma" w:hAnsi="Tahoma" w:cs="Tahoma"/>
        </w:rPr>
        <w:t xml:space="preserve"> </w:t>
      </w:r>
      <w:r w:rsidR="009D6201" w:rsidRPr="000D5EEE">
        <w:rPr>
          <w:rFonts w:ascii="Tahoma" w:hAnsi="Tahoma" w:cs="Tahoma"/>
        </w:rPr>
        <w:t>Consorcio conformado por las empresas Tecnología y Desarrollo Perú S.A.C. y Organización Médica y de Servicios Santa Anita S.A.C.</w:t>
      </w:r>
      <w:r w:rsidRPr="000D5EEE">
        <w:rPr>
          <w:rFonts w:ascii="Tahoma" w:hAnsi="Tahoma" w:cs="Tahoma"/>
        </w:rPr>
        <w:t xml:space="preserve">, por supuesta responsabilidad en </w:t>
      </w:r>
      <w:r w:rsidR="009D6201">
        <w:rPr>
          <w:rFonts w:ascii="Tahoma" w:hAnsi="Tahoma" w:cs="Tahoma"/>
        </w:rPr>
        <w:t>presentar documentación falsa, durante el desarrollo de</w:t>
      </w:r>
      <w:r w:rsidR="00534854">
        <w:rPr>
          <w:rFonts w:ascii="Tahoma" w:hAnsi="Tahoma" w:cs="Tahoma"/>
        </w:rPr>
        <w:t xml:space="preserve"> </w:t>
      </w:r>
      <w:r w:rsidR="009D6201">
        <w:rPr>
          <w:rFonts w:ascii="Tahoma" w:hAnsi="Tahoma" w:cs="Tahoma"/>
        </w:rPr>
        <w:t>l</w:t>
      </w:r>
      <w:r w:rsidR="00534854">
        <w:rPr>
          <w:rFonts w:ascii="Tahoma" w:hAnsi="Tahoma" w:cs="Tahoma"/>
        </w:rPr>
        <w:t>a</w:t>
      </w:r>
      <w:r w:rsidR="009D6201">
        <w:rPr>
          <w:rFonts w:ascii="Tahoma" w:hAnsi="Tahoma" w:cs="Tahoma"/>
        </w:rPr>
        <w:t xml:space="preserve"> </w:t>
      </w:r>
      <w:r w:rsidRPr="000D5EEE">
        <w:rPr>
          <w:rFonts w:ascii="Tahoma" w:hAnsi="Tahoma" w:cs="Tahoma"/>
        </w:rPr>
        <w:t xml:space="preserve"> </w:t>
      </w:r>
      <w:r w:rsidR="009D6201" w:rsidRPr="000D5EEE">
        <w:rPr>
          <w:rFonts w:ascii="Tahoma" w:hAnsi="Tahoma" w:cs="Tahoma"/>
        </w:rPr>
        <w:t>Adjudicación de Menor Cuantía Nº 260/2010-ESSALUD-RAA (AMC Nº 1006M02602)</w:t>
      </w:r>
      <w:r w:rsidR="00534854">
        <w:rPr>
          <w:rFonts w:ascii="Tahoma" w:hAnsi="Tahoma" w:cs="Tahoma"/>
        </w:rPr>
        <w:t>,</w:t>
      </w:r>
      <w:r w:rsidR="009D6201" w:rsidRPr="000D5EEE">
        <w:rPr>
          <w:rFonts w:ascii="Tahoma" w:hAnsi="Tahoma" w:cs="Tahoma"/>
        </w:rPr>
        <w:t xml:space="preserve"> </w:t>
      </w:r>
      <w:r w:rsidR="009D6201">
        <w:rPr>
          <w:rFonts w:ascii="Tahoma" w:hAnsi="Tahoma" w:cs="Tahoma"/>
        </w:rPr>
        <w:t xml:space="preserve">efectuada por </w:t>
      </w:r>
      <w:r w:rsidR="009D6201" w:rsidRPr="000D5EEE">
        <w:rPr>
          <w:rFonts w:ascii="Tahoma" w:hAnsi="Tahoma" w:cs="Tahoma"/>
        </w:rPr>
        <w:t>el Seguro Social de Salud</w:t>
      </w:r>
      <w:r w:rsidR="009D6201">
        <w:rPr>
          <w:rFonts w:ascii="Tahoma" w:hAnsi="Tahoma" w:cs="Tahoma"/>
        </w:rPr>
        <w:t xml:space="preserve">, </w:t>
      </w:r>
      <w:r w:rsidR="009D6201" w:rsidRPr="000D5EEE">
        <w:rPr>
          <w:rFonts w:ascii="Tahoma" w:hAnsi="Tahoma" w:cs="Tahoma"/>
        </w:rPr>
        <w:t>para la contratación del servicio de hospitalización médica para pacientes con cuidados especiales para la Red Asistencial Almenara</w:t>
      </w:r>
      <w:r w:rsidRPr="000D5EEE">
        <w:rPr>
          <w:rFonts w:ascii="Tahoma" w:hAnsi="Tahoma" w:cs="Tahoma"/>
          <w:bCs/>
          <w:lang w:val="es-ES_tradnl"/>
        </w:rPr>
        <w:t>,</w:t>
      </w:r>
      <w:r w:rsidRPr="000D5EEE">
        <w:rPr>
          <w:rFonts w:ascii="Tahoma" w:hAnsi="Tahoma" w:cs="Tahoma"/>
          <w:color w:val="000000"/>
        </w:rPr>
        <w:t xml:space="preserve"> atendiendo a los siguientes:    </w:t>
      </w:r>
    </w:p>
    <w:p w:rsidR="000D5EEE" w:rsidRPr="000D5EEE" w:rsidRDefault="000D5EEE" w:rsidP="00534854">
      <w:pPr>
        <w:pStyle w:val="Textoindependiente"/>
        <w:widowControl/>
        <w:tabs>
          <w:tab w:val="left" w:pos="540"/>
        </w:tabs>
        <w:suppressAutoHyphens w:val="0"/>
        <w:rPr>
          <w:rFonts w:cs="Tahoma"/>
          <w:sz w:val="20"/>
        </w:rPr>
      </w:pPr>
    </w:p>
    <w:p w:rsidR="000D5EEE" w:rsidRPr="000D5EEE" w:rsidRDefault="000D5EEE" w:rsidP="00534854">
      <w:pPr>
        <w:jc w:val="both"/>
        <w:rPr>
          <w:rFonts w:ascii="Tahoma" w:hAnsi="Tahoma" w:cs="Tahoma"/>
          <w:b/>
          <w:shadow/>
        </w:rPr>
      </w:pPr>
      <w:r w:rsidRPr="000D5EEE">
        <w:rPr>
          <w:rFonts w:ascii="Tahoma" w:hAnsi="Tahoma" w:cs="Tahoma"/>
          <w:b/>
          <w:shadow/>
        </w:rPr>
        <w:t>ANTECEDENTES:</w:t>
      </w:r>
    </w:p>
    <w:p w:rsidR="000D5EEE" w:rsidRPr="000D5EEE" w:rsidRDefault="000D5EEE" w:rsidP="00534854">
      <w:pPr>
        <w:jc w:val="both"/>
        <w:rPr>
          <w:rFonts w:ascii="Tahoma" w:hAnsi="Tahoma" w:cs="Tahoma"/>
          <w:b/>
          <w:bCs/>
        </w:rPr>
      </w:pPr>
    </w:p>
    <w:p w:rsidR="000D5EEE" w:rsidRPr="000D5EEE" w:rsidRDefault="000D5EEE" w:rsidP="00534854">
      <w:pPr>
        <w:numPr>
          <w:ilvl w:val="0"/>
          <w:numId w:val="7"/>
        </w:numPr>
        <w:jc w:val="both"/>
        <w:rPr>
          <w:rFonts w:ascii="Tahoma" w:hAnsi="Tahoma" w:cs="Tahoma"/>
        </w:rPr>
      </w:pPr>
      <w:r w:rsidRPr="000D5EEE">
        <w:rPr>
          <w:rFonts w:ascii="Tahoma" w:hAnsi="Tahoma" w:cs="Tahoma"/>
        </w:rPr>
        <w:t>El 19 de marzo de 2010 el Seguro Social de Salud, en adelante la Entidad,  convocó  la Adjudicación de Menor Cuantía Nº 260/2010-ESSALUD-RAA (AMC Nº 1006M02602) para la contratación del servicio de hospitalización médica para pacientes con cuidados especiales para la Red Asistencial Almenara, con un valor referencial total ascendente a S/. 193, 380.00 (Ciento noventa y tres mil trescientos ochenta y 00/100 Nuevos Soles) incluido el Impuesto General a las Ventas (IGV).</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Con fecha 06 de abril de 2010, se registraron electrónicamente como participantes las empresas Clínica San Miguel Arcangel S.A.C.  y el Consorcio conformado por las empresas Tecnología y Desarrollo Perú S.A.C. y Organización Médica y de Servicios Santa Anita S.A.C.</w:t>
      </w:r>
    </w:p>
    <w:p w:rsidR="000D5EEE" w:rsidRPr="000D5EEE" w:rsidRDefault="000D5EEE" w:rsidP="00534854">
      <w:pPr>
        <w:pStyle w:val="Prrafodelista"/>
        <w:jc w:val="both"/>
        <w:rPr>
          <w:sz w:val="20"/>
          <w:szCs w:val="20"/>
        </w:rPr>
      </w:pPr>
    </w:p>
    <w:p w:rsidR="000D5EEE" w:rsidRPr="000D5EEE" w:rsidRDefault="000D5EEE" w:rsidP="00534854">
      <w:pPr>
        <w:numPr>
          <w:ilvl w:val="0"/>
          <w:numId w:val="7"/>
        </w:numPr>
        <w:jc w:val="both"/>
        <w:rPr>
          <w:rFonts w:ascii="Tahoma" w:hAnsi="Tahoma" w:cs="Tahoma"/>
        </w:rPr>
      </w:pPr>
      <w:r w:rsidRPr="000D5EEE">
        <w:rPr>
          <w:rFonts w:ascii="Tahoma" w:hAnsi="Tahoma" w:cs="Tahoma"/>
        </w:rPr>
        <w:t>El 09 de abril de 2010, se publicó en el SEACE los resultados del proceso, en el cual el Comité Especial a cargo del proceso de selección decidió descalificar al Consorcio integrado por las empresas Tecnología y Desarrollo Perú S.A.C. y Organización Médica y de Servicios Santa Anita S.A.C., debido a que no cumplió con uno de los ítems de las Bases, en específico con el numeral 2.2.1. literal G y declaró adjudicatario al Postor Clínica San Miguel.</w:t>
      </w:r>
    </w:p>
    <w:p w:rsidR="000D5EEE" w:rsidRPr="000D5EEE" w:rsidRDefault="000D5EEE" w:rsidP="00534854">
      <w:pPr>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Mediante escrito del 16 de abril de 2010, el Consorcio interpuso recurso de apelación contra la descalificación de su propuesta técnica y contra el otorgamiento de la buena pro.</w:t>
      </w:r>
    </w:p>
    <w:p w:rsidR="000D5EEE" w:rsidRPr="000D5EEE" w:rsidRDefault="000D5EEE" w:rsidP="00534854">
      <w:pPr>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A través de la Resolución de Gerencia General Nº 486-GGESSALUD-2010 de fecha 04 de mayo de 2010, la Entidad dispuso declarar infundado el recurso de apelación en virtud a los siguientes argumentos:</w:t>
      </w:r>
    </w:p>
    <w:p w:rsidR="000D5EEE" w:rsidRPr="000D5EEE" w:rsidRDefault="000D5EEE" w:rsidP="00534854">
      <w:pPr>
        <w:jc w:val="both"/>
        <w:rPr>
          <w:rFonts w:ascii="Tahoma" w:hAnsi="Tahoma" w:cs="Tahoma"/>
        </w:rPr>
      </w:pPr>
    </w:p>
    <w:p w:rsidR="000D5EEE" w:rsidRPr="000D5EEE" w:rsidRDefault="000D5EEE" w:rsidP="00534854">
      <w:pPr>
        <w:pStyle w:val="Prrafodelista"/>
        <w:widowControl/>
        <w:numPr>
          <w:ilvl w:val="0"/>
          <w:numId w:val="8"/>
        </w:numPr>
        <w:suppressAutoHyphens w:val="0"/>
        <w:jc w:val="both"/>
        <w:rPr>
          <w:sz w:val="20"/>
          <w:szCs w:val="20"/>
        </w:rPr>
      </w:pPr>
      <w:r w:rsidRPr="000D5EEE">
        <w:rPr>
          <w:sz w:val="20"/>
          <w:szCs w:val="20"/>
        </w:rPr>
        <w:lastRenderedPageBreak/>
        <w:t>El punto controvertido consistía en determinar si corresponde desestimar la propuesta técnica del postor por no haberse presentado la Resolución emitida por el Ministerio de Salud de categorización acreditado y/o funcionamiento – Nivel II-2, conforme se solicitó en el literal g) del numeral 2.2.1 del capítulo II de las Bases.</w:t>
      </w:r>
    </w:p>
    <w:p w:rsidR="000D5EEE" w:rsidRPr="000D5EEE" w:rsidRDefault="000D5EEE" w:rsidP="00534854">
      <w:pPr>
        <w:pStyle w:val="Prrafodelista"/>
        <w:ind w:left="1440"/>
        <w:jc w:val="both"/>
        <w:rPr>
          <w:sz w:val="20"/>
          <w:szCs w:val="20"/>
        </w:rPr>
      </w:pPr>
    </w:p>
    <w:p w:rsidR="000D5EEE" w:rsidRPr="000D5EEE" w:rsidRDefault="000D5EEE" w:rsidP="00534854">
      <w:pPr>
        <w:pStyle w:val="Prrafodelista"/>
        <w:widowControl/>
        <w:numPr>
          <w:ilvl w:val="0"/>
          <w:numId w:val="8"/>
        </w:numPr>
        <w:suppressAutoHyphens w:val="0"/>
        <w:jc w:val="both"/>
        <w:rPr>
          <w:sz w:val="20"/>
          <w:szCs w:val="20"/>
        </w:rPr>
      </w:pPr>
      <w:r w:rsidRPr="000D5EEE">
        <w:rPr>
          <w:sz w:val="20"/>
          <w:szCs w:val="20"/>
        </w:rPr>
        <w:t>El Postor impugnante indicó que a folios 03 de su propuesta técnica obra la Resolución Directoral de fecha 15 de julio de 2009, expedida por el Ministerio de Salud, en la que se le otorga la Licencia de Apertura de Funcionamiento de la Clínica Muñoz (Tecnología y Desarrollo Perú S.A.C.) con categorización Nivel II-1 por el periodo de Julio de 2009 a Junio de 2012.</w:t>
      </w:r>
    </w:p>
    <w:p w:rsidR="000D5EEE" w:rsidRPr="000D5EEE" w:rsidRDefault="000D5EEE" w:rsidP="00534854">
      <w:pPr>
        <w:pStyle w:val="Prrafodelista"/>
        <w:jc w:val="both"/>
        <w:rPr>
          <w:sz w:val="20"/>
          <w:szCs w:val="20"/>
        </w:rPr>
      </w:pPr>
    </w:p>
    <w:p w:rsidR="000D5EEE" w:rsidRPr="000D5EEE" w:rsidRDefault="000D5EEE" w:rsidP="00534854">
      <w:pPr>
        <w:pStyle w:val="Prrafodelista"/>
        <w:widowControl/>
        <w:numPr>
          <w:ilvl w:val="0"/>
          <w:numId w:val="8"/>
        </w:numPr>
        <w:suppressAutoHyphens w:val="0"/>
        <w:jc w:val="both"/>
        <w:rPr>
          <w:sz w:val="20"/>
          <w:szCs w:val="20"/>
        </w:rPr>
      </w:pPr>
      <w:r w:rsidRPr="000D5EEE">
        <w:rPr>
          <w:sz w:val="20"/>
          <w:szCs w:val="20"/>
        </w:rPr>
        <w:t>De la revisión al documento presentado, se advierte que no cumple con los requisitos técnicos mínimos, puesto que la Resolución de categorización que presenta (Nivel II-1) no guarda relación con el objeto del servicio convocado, por cuanto por dicho objeto se requiere que el establecimiento tenga una categorización Nivel II-2, por lo que resultó infundado el argumento del impugnante.</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 xml:space="preserve">Por medio del Formulario de Denuncia del 06 de mayo de 2010, el Dr. Aldo  Forttini Headrington, pone en conocimiento de este Tribunal que las empresas integrantes del Consorcio TECNOLOGIA Y DESARROLLO PERU S.A.C Y ORGANIZACIÓN MEDICA Y SERVICIOS SANTA ANITA S.A.C., habrían incurrido en causal de sanción al haber presentado supuestos documentos falsos durante el desarrollo de la Adjudicación de Menor Cuantía Nº 260/2010-ESSALUD-RAA (AMC Nº 1006M02602), tales como: Resolución Directoral s/n de fecha 15 de julio de 2009, la cual no fue expedida por la DISA V Lima. </w:t>
      </w:r>
    </w:p>
    <w:p w:rsidR="000D5EEE" w:rsidRPr="000D5EEE" w:rsidRDefault="000D5EEE" w:rsidP="00534854">
      <w:pPr>
        <w:ind w:left="360"/>
        <w:jc w:val="both"/>
        <w:rPr>
          <w:rFonts w:ascii="Tahoma" w:hAnsi="Tahoma" w:cs="Tahoma"/>
        </w:rPr>
      </w:pPr>
    </w:p>
    <w:p w:rsidR="000D5EEE" w:rsidRPr="000D5EEE" w:rsidRDefault="000D5EEE" w:rsidP="00534854">
      <w:pPr>
        <w:ind w:left="708"/>
        <w:jc w:val="both"/>
        <w:rPr>
          <w:rFonts w:ascii="Tahoma" w:hAnsi="Tahoma" w:cs="Tahoma"/>
        </w:rPr>
      </w:pPr>
      <w:r w:rsidRPr="000D5EEE">
        <w:rPr>
          <w:rFonts w:ascii="Tahoma" w:hAnsi="Tahoma" w:cs="Tahoma"/>
        </w:rPr>
        <w:t>Como sustento de su denuncia, adjunta el Oficio Nº 1741-2010-DG-DESP-DSS-DISA V.LC de fecha 14 de abril de 2010, donde el Director General de la DISA V Lima, determina la cancelación del registro de la clínica especializada en Gineco Obstetra a la Clínica Muñoz (Resolución de diciembre de 1991), además de precisar que a la fecha no cumple con los criterios para calificar como “ Clínica Especializada”, no manifestando algo en relación a la Resolución S/N del 15 de julio de 2009.</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Por decreto de fecha 11 de mayo de 2010, el Tribunal previamente al inicio del procedimiento administrativo sancionador corre traslado de la denuncia presentada por el señor Aldo Forttini, para que cumpla con remitir el Informe Técnico Legal de su asesoría sobre la procedencia y presunta responsabilidad del Consorcio, otorgándole el plazo de diez (10) días hábiles, bajo responsabilidad y apercibimiento de poner en conocimiento de la Contraloría General de la República.</w:t>
      </w:r>
    </w:p>
    <w:p w:rsidR="000D5EEE" w:rsidRPr="000D5EEE" w:rsidRDefault="000D5EEE" w:rsidP="00534854">
      <w:pPr>
        <w:ind w:left="360"/>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Mediante escrito del 02 de agosto de 2010, la Entidad solicita se le extienda el plazo de entrega de dicho informe a cinco (05) días hábiles adicionales al plazo señalado en el decreto de fecha 11 de mayo de 2010.</w:t>
      </w:r>
    </w:p>
    <w:p w:rsidR="000D5EEE" w:rsidRPr="000D5EEE" w:rsidRDefault="000D5EEE" w:rsidP="00534854">
      <w:pPr>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Por decreto de fecha 05 de agosto de 2010, el Tribunal accedió a lo solicitado.</w:t>
      </w:r>
    </w:p>
    <w:p w:rsidR="000D5EEE" w:rsidRPr="000D5EEE" w:rsidRDefault="000D5EEE" w:rsidP="00534854">
      <w:pPr>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Mediante escrito de fecha 24 de agosto de 2010, la Entidad remitió el Informe Legal Nº 78-OAJ.G.RAA-ESSALUD-2010, en el cual se manifiesta lo siguiente:</w:t>
      </w:r>
    </w:p>
    <w:p w:rsidR="000D5EEE" w:rsidRPr="000D5EEE" w:rsidRDefault="000D5EEE" w:rsidP="00534854">
      <w:pPr>
        <w:jc w:val="both"/>
        <w:rPr>
          <w:rFonts w:ascii="Tahoma" w:hAnsi="Tahoma" w:cs="Tahoma"/>
        </w:rPr>
      </w:pPr>
    </w:p>
    <w:p w:rsidR="000D5EEE" w:rsidRPr="000D5EEE" w:rsidRDefault="000D5EEE" w:rsidP="00534854">
      <w:pPr>
        <w:numPr>
          <w:ilvl w:val="0"/>
          <w:numId w:val="9"/>
        </w:numPr>
        <w:jc w:val="both"/>
        <w:rPr>
          <w:rFonts w:ascii="Tahoma" w:hAnsi="Tahoma" w:cs="Tahoma"/>
        </w:rPr>
      </w:pPr>
      <w:r w:rsidRPr="000D5EEE">
        <w:rPr>
          <w:rFonts w:ascii="Tahoma" w:hAnsi="Tahoma" w:cs="Tahoma"/>
        </w:rPr>
        <w:lastRenderedPageBreak/>
        <w:t>El Consorcio conformado por la empresa TECNOLOGIA Y DESARROLLO PERU S.A.C. Y ORGANIZACIÓN MEDICA Y DE SERVICIOS SANTA ANITA S.A.C., participaron en los procesos 1006M01192 y 1006M02602 convocados por la Red Asistencial Almenara (RAA).</w:t>
      </w:r>
    </w:p>
    <w:p w:rsidR="000D5EEE" w:rsidRPr="000D5EEE" w:rsidRDefault="000D5EEE" w:rsidP="00534854">
      <w:pPr>
        <w:ind w:left="708"/>
        <w:jc w:val="both"/>
        <w:rPr>
          <w:rFonts w:ascii="Tahoma" w:hAnsi="Tahoma" w:cs="Tahoma"/>
        </w:rPr>
      </w:pPr>
    </w:p>
    <w:p w:rsidR="000D5EEE" w:rsidRPr="000D5EEE" w:rsidRDefault="000D5EEE" w:rsidP="00534854">
      <w:pPr>
        <w:numPr>
          <w:ilvl w:val="0"/>
          <w:numId w:val="9"/>
        </w:numPr>
        <w:jc w:val="both"/>
        <w:rPr>
          <w:rFonts w:ascii="Tahoma" w:hAnsi="Tahoma" w:cs="Tahoma"/>
        </w:rPr>
      </w:pPr>
      <w:r w:rsidRPr="000D5EEE">
        <w:rPr>
          <w:rFonts w:ascii="Tahoma" w:hAnsi="Tahoma" w:cs="Tahoma"/>
        </w:rPr>
        <w:t xml:space="preserve"> Respecto del proceso de la denuncia, debe señalarse que con fecha 16 de abril de 2010, el Consorcio interpone recurso de apelación contra la adjudicación de la Buena Pro a favor de la Clínica San Miguel Arcángel, la cual fue declarada infundada.</w:t>
      </w:r>
    </w:p>
    <w:p w:rsidR="000D5EEE" w:rsidRPr="000D5EEE" w:rsidRDefault="000D5EEE" w:rsidP="00534854">
      <w:pPr>
        <w:jc w:val="both"/>
        <w:rPr>
          <w:rFonts w:ascii="Tahoma" w:hAnsi="Tahoma" w:cs="Tahoma"/>
        </w:rPr>
      </w:pPr>
    </w:p>
    <w:p w:rsidR="000D5EEE" w:rsidRPr="000D5EEE" w:rsidRDefault="000D5EEE" w:rsidP="00534854">
      <w:pPr>
        <w:numPr>
          <w:ilvl w:val="0"/>
          <w:numId w:val="9"/>
        </w:numPr>
        <w:jc w:val="both"/>
        <w:rPr>
          <w:rFonts w:ascii="Tahoma" w:hAnsi="Tahoma" w:cs="Tahoma"/>
        </w:rPr>
      </w:pPr>
      <w:r w:rsidRPr="000D5EEE">
        <w:rPr>
          <w:rFonts w:ascii="Tahoma" w:hAnsi="Tahoma" w:cs="Tahoma"/>
        </w:rPr>
        <w:t>Asimismo, mediante Informe Nº 03-PCECC_HNGAI-RAA-ESSALUD-2010, el Dr. Aldo Forttini, informa que la Resolución Directoral de fecha 15 de julio del 2009, presentada por el Consorcio, es falsa.</w:t>
      </w:r>
    </w:p>
    <w:p w:rsidR="000D5EEE" w:rsidRPr="000D5EEE" w:rsidRDefault="000D5EEE" w:rsidP="00534854">
      <w:pPr>
        <w:jc w:val="both"/>
        <w:rPr>
          <w:rFonts w:ascii="Tahoma" w:hAnsi="Tahoma" w:cs="Tahoma"/>
        </w:rPr>
      </w:pPr>
    </w:p>
    <w:p w:rsidR="000D5EEE" w:rsidRPr="000D5EEE" w:rsidRDefault="000D5EEE" w:rsidP="00534854">
      <w:pPr>
        <w:numPr>
          <w:ilvl w:val="0"/>
          <w:numId w:val="9"/>
        </w:numPr>
        <w:jc w:val="both"/>
        <w:rPr>
          <w:rFonts w:ascii="Tahoma" w:hAnsi="Tahoma" w:cs="Tahoma"/>
        </w:rPr>
      </w:pPr>
      <w:r w:rsidRPr="000D5EEE">
        <w:rPr>
          <w:rFonts w:ascii="Tahoma" w:hAnsi="Tahoma" w:cs="Tahoma"/>
        </w:rPr>
        <w:t>En atención a ello, la Unidad de Adquisiciones realiza las investigaciones respecto a la veracidad de la documentación presentada, recibiendo con fecha 07 de junio de 2010, la confirmación de la DISA V Lima que la Resolución Directoral de fecha 15 de julio del 2009 y la Constancia de Registro S/N de fecha 05 de enero de 2010, son falsas.</w:t>
      </w:r>
    </w:p>
    <w:p w:rsidR="000D5EEE" w:rsidRPr="000D5EEE" w:rsidRDefault="000D5EEE" w:rsidP="00534854">
      <w:pPr>
        <w:jc w:val="both"/>
        <w:rPr>
          <w:rFonts w:ascii="Tahoma" w:hAnsi="Tahoma" w:cs="Tahoma"/>
        </w:rPr>
      </w:pPr>
    </w:p>
    <w:p w:rsidR="000D5EEE" w:rsidRPr="000D5EEE" w:rsidRDefault="000D5EEE" w:rsidP="00534854">
      <w:pPr>
        <w:numPr>
          <w:ilvl w:val="0"/>
          <w:numId w:val="9"/>
        </w:numPr>
        <w:jc w:val="both"/>
        <w:rPr>
          <w:rFonts w:ascii="Tahoma" w:hAnsi="Tahoma" w:cs="Tahoma"/>
        </w:rPr>
      </w:pPr>
      <w:r w:rsidRPr="000D5EEE">
        <w:rPr>
          <w:rFonts w:ascii="Tahoma" w:hAnsi="Tahoma" w:cs="Tahoma"/>
        </w:rPr>
        <w:t>En consecuencia, analizados los hechos se tiene que el Consorcio presentó una Resolución Directoral de fecha 15 de julio de 2009 y la Constancia de Registro de fecha 05 de enero de 2010 a nombre de la Clínica Muñoz, para cumplir con un requisito obligatorio de las Bases, siendo que la misma es Falsa, habiéndose transgredido el artículo 237 literal i) del Reglamento de la Ley de Contrataciones del Estado.</w:t>
      </w:r>
    </w:p>
    <w:p w:rsidR="000D5EEE" w:rsidRPr="000D5EEE" w:rsidRDefault="000D5EEE" w:rsidP="00534854">
      <w:pPr>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Por decreto del 27 de agosto de 2010, el Tribunal inició procedimiento administrativo sancionador a las empresas consorciadas Tecnología y Desarrollo Perú S.A.C. y Organización Médica y de Servicios Santa Anita S.A.C., por supuesta responsabilidad en haber presentado como parte de su propuesta técnica la Resolución Directoral de fecha 15 de julio de 2009 y la Constancia de Registro s/n de fecha 05 de enero de 2010, documentos supuestamente falsos, infracción tipificada en el numeral 51.1 literal i) del artículo 51 de la Ley y numeral 1) literal i) del artículo 237 del Reglamento de la Ley. Asimismo, se les otorgó el plazo de diez (10) días para que presentaran sus descargos, bajo apercibimiento de resolver el presente procedimiento con la documentación obrante en autos.</w:t>
      </w:r>
    </w:p>
    <w:p w:rsidR="000D5EEE" w:rsidRPr="000D5EEE" w:rsidRDefault="000D5EEE" w:rsidP="00534854">
      <w:pPr>
        <w:pStyle w:val="Prrafodelista"/>
        <w:jc w:val="both"/>
        <w:rPr>
          <w:sz w:val="20"/>
          <w:szCs w:val="20"/>
        </w:rPr>
      </w:pPr>
    </w:p>
    <w:p w:rsidR="000D5EEE" w:rsidRPr="000D5EEE" w:rsidRDefault="000D5EEE" w:rsidP="00534854">
      <w:pPr>
        <w:numPr>
          <w:ilvl w:val="0"/>
          <w:numId w:val="7"/>
        </w:numPr>
        <w:jc w:val="both"/>
        <w:rPr>
          <w:rFonts w:ascii="Tahoma" w:hAnsi="Tahoma" w:cs="Tahoma"/>
        </w:rPr>
      </w:pPr>
      <w:r w:rsidRPr="000D5EEE">
        <w:rPr>
          <w:rFonts w:ascii="Tahoma" w:hAnsi="Tahoma" w:cs="Tahoma"/>
        </w:rPr>
        <w:t>Con escrito de fecha 13 de octubre de 2010, la empresa consorciada Organización Médica y de Servicios Santa Anita S.A.C</w:t>
      </w:r>
      <w:r w:rsidRPr="000D5EEE">
        <w:rPr>
          <w:rFonts w:ascii="Tahoma" w:hAnsi="Tahoma" w:cs="Tahoma"/>
          <w:b/>
          <w:bCs/>
        </w:rPr>
        <w:t>.</w:t>
      </w:r>
      <w:r w:rsidRPr="000D5EEE">
        <w:rPr>
          <w:rFonts w:ascii="Tahoma" w:hAnsi="Tahoma" w:cs="Tahoma"/>
        </w:rPr>
        <w:t>, formuló sus descargos en los siguientes términos:</w:t>
      </w:r>
    </w:p>
    <w:p w:rsidR="000D5EEE" w:rsidRPr="000D5EEE" w:rsidRDefault="000D5EEE" w:rsidP="00534854">
      <w:pPr>
        <w:jc w:val="both"/>
        <w:rPr>
          <w:rFonts w:ascii="Tahoma" w:hAnsi="Tahoma" w:cs="Tahoma"/>
        </w:rPr>
      </w:pPr>
    </w:p>
    <w:p w:rsidR="000D5EEE" w:rsidRPr="000D5EEE" w:rsidRDefault="000D5EEE" w:rsidP="00534854">
      <w:pPr>
        <w:numPr>
          <w:ilvl w:val="0"/>
          <w:numId w:val="10"/>
        </w:numPr>
        <w:tabs>
          <w:tab w:val="clear" w:pos="1428"/>
          <w:tab w:val="num" w:pos="2127"/>
        </w:tabs>
        <w:ind w:left="2127" w:hanging="709"/>
        <w:jc w:val="both"/>
        <w:rPr>
          <w:rFonts w:ascii="Tahoma" w:hAnsi="Tahoma" w:cs="Tahoma"/>
        </w:rPr>
      </w:pPr>
      <w:r w:rsidRPr="000D5EEE">
        <w:rPr>
          <w:rFonts w:ascii="Tahoma" w:hAnsi="Tahoma" w:cs="Tahoma"/>
        </w:rPr>
        <w:t>Si bien en la Promesa Formal de Consorcio no se precisó las obligaciones de cada consorciado, y por ende se presume que actuaron en conjunto, es preciso mencionar que mediante contrato marco con firma legalizada se delimitó y definió de manera clara y precisa las responsabilidades de cada empresa, en la cual se indicaba que le correspondía al consorciado Tecnología y Desarrollo Perú S.A.C. ubicar, tramitar, gestionar, y obtener toda la documentación pública y privada necesarias para la correcta presentación de la propuesta.</w:t>
      </w:r>
    </w:p>
    <w:p w:rsidR="000D5EEE" w:rsidRPr="000D5EEE" w:rsidRDefault="000D5EEE" w:rsidP="00534854">
      <w:pPr>
        <w:ind w:left="2127"/>
        <w:jc w:val="both"/>
        <w:rPr>
          <w:rFonts w:ascii="Tahoma" w:hAnsi="Tahoma" w:cs="Tahoma"/>
        </w:rPr>
      </w:pPr>
    </w:p>
    <w:p w:rsidR="000D5EEE" w:rsidRPr="000D5EEE" w:rsidRDefault="000D5EEE" w:rsidP="00534854">
      <w:pPr>
        <w:numPr>
          <w:ilvl w:val="0"/>
          <w:numId w:val="10"/>
        </w:numPr>
        <w:tabs>
          <w:tab w:val="clear" w:pos="1428"/>
          <w:tab w:val="num" w:pos="2127"/>
        </w:tabs>
        <w:ind w:left="2127" w:hanging="709"/>
        <w:jc w:val="both"/>
        <w:rPr>
          <w:rFonts w:ascii="Tahoma" w:hAnsi="Tahoma" w:cs="Tahoma"/>
        </w:rPr>
      </w:pPr>
      <w:r w:rsidRPr="000D5EEE">
        <w:rPr>
          <w:rFonts w:ascii="Tahoma" w:hAnsi="Tahoma" w:cs="Tahoma"/>
        </w:rPr>
        <w:lastRenderedPageBreak/>
        <w:t>En razón a ello, quien obtuvo los documentos cuestionados como falsos estuvieron a cargo de la empresa Tecnología y Desarrollo Perú S.A.C., por lo que debe imponerse sanción sólo a dicha empresa.</w:t>
      </w:r>
    </w:p>
    <w:p w:rsidR="000D5EEE" w:rsidRPr="000D5EEE" w:rsidRDefault="000D5EEE" w:rsidP="00534854">
      <w:pPr>
        <w:pStyle w:val="Prrafodelista"/>
        <w:jc w:val="both"/>
        <w:rPr>
          <w:sz w:val="20"/>
          <w:szCs w:val="20"/>
        </w:rPr>
      </w:pPr>
    </w:p>
    <w:p w:rsidR="000D5EEE" w:rsidRPr="000D5EEE" w:rsidRDefault="000D5EEE" w:rsidP="00534854">
      <w:pPr>
        <w:numPr>
          <w:ilvl w:val="0"/>
          <w:numId w:val="7"/>
        </w:numPr>
        <w:jc w:val="both"/>
        <w:rPr>
          <w:rFonts w:ascii="Tahoma" w:hAnsi="Tahoma" w:cs="Tahoma"/>
        </w:rPr>
      </w:pPr>
      <w:r w:rsidRPr="000D5EEE">
        <w:rPr>
          <w:rFonts w:ascii="Tahoma" w:hAnsi="Tahoma" w:cs="Tahoma"/>
        </w:rPr>
        <w:t>Con escrito de fecha 14 de octubre de 2010, la empresa consorciada Tecnología y Desarrollo Perú S.A.C.</w:t>
      </w:r>
      <w:r w:rsidRPr="000D5EEE">
        <w:rPr>
          <w:rFonts w:ascii="Tahoma" w:hAnsi="Tahoma" w:cs="Tahoma"/>
          <w:b/>
          <w:bCs/>
        </w:rPr>
        <w:t xml:space="preserve"> </w:t>
      </w:r>
      <w:r w:rsidRPr="000D5EEE">
        <w:rPr>
          <w:rFonts w:ascii="Tahoma" w:hAnsi="Tahoma" w:cs="Tahoma"/>
        </w:rPr>
        <w:t xml:space="preserve"> se apersonó al presente procedimiento sin indicar argumento alguno a su favor.</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7"/>
        </w:numPr>
        <w:jc w:val="both"/>
        <w:rPr>
          <w:rFonts w:ascii="Tahoma" w:hAnsi="Tahoma" w:cs="Tahoma"/>
        </w:rPr>
      </w:pPr>
      <w:r w:rsidRPr="000D5EEE">
        <w:rPr>
          <w:rFonts w:ascii="Tahoma" w:hAnsi="Tahoma" w:cs="Tahoma"/>
        </w:rPr>
        <w:t>Mediante escrito de fecha 12 de noviembre de 2010, la empresa consorciada Organización Médica y de Servicios Santa Anita S.A.C.</w:t>
      </w:r>
      <w:r w:rsidRPr="000D5EEE">
        <w:rPr>
          <w:rFonts w:ascii="Tahoma" w:hAnsi="Tahoma" w:cs="Tahoma"/>
          <w:b/>
          <w:bCs/>
        </w:rPr>
        <w:t xml:space="preserve"> </w:t>
      </w:r>
      <w:r w:rsidRPr="000D5EEE">
        <w:rPr>
          <w:rFonts w:ascii="Tahoma" w:hAnsi="Tahoma" w:cs="Tahoma"/>
        </w:rPr>
        <w:t>solicitó el uso de la palabra.</w:t>
      </w:r>
    </w:p>
    <w:p w:rsidR="000D5EEE" w:rsidRPr="000D5EEE" w:rsidRDefault="000D5EEE" w:rsidP="00534854">
      <w:pPr>
        <w:pStyle w:val="Prrafodelista"/>
        <w:jc w:val="both"/>
        <w:rPr>
          <w:sz w:val="20"/>
          <w:szCs w:val="20"/>
        </w:rPr>
      </w:pPr>
    </w:p>
    <w:p w:rsidR="000D5EEE" w:rsidRPr="000D5EEE" w:rsidRDefault="000D5EEE" w:rsidP="00534854">
      <w:pPr>
        <w:numPr>
          <w:ilvl w:val="0"/>
          <w:numId w:val="7"/>
        </w:numPr>
        <w:jc w:val="both"/>
        <w:rPr>
          <w:rFonts w:ascii="Tahoma" w:hAnsi="Tahoma" w:cs="Tahoma"/>
        </w:rPr>
      </w:pPr>
      <w:r w:rsidRPr="000D5EEE">
        <w:rPr>
          <w:rFonts w:ascii="Tahoma" w:hAnsi="Tahoma" w:cs="Tahoma"/>
        </w:rPr>
        <w:t>Con decreto de fecha 29 de noviembre de 2010, se dispuso remitir el expediente a la Primera Sala del Tribunal a fin que emita pronunciamiento.</w:t>
      </w:r>
    </w:p>
    <w:p w:rsidR="000D5EEE" w:rsidRPr="000D5EEE" w:rsidRDefault="000D5EEE" w:rsidP="00534854">
      <w:pPr>
        <w:jc w:val="both"/>
        <w:rPr>
          <w:rFonts w:ascii="Tahoma" w:hAnsi="Tahoma" w:cs="Tahoma"/>
        </w:rPr>
      </w:pPr>
    </w:p>
    <w:p w:rsidR="000D5EEE" w:rsidRPr="000D5EEE" w:rsidRDefault="000D5EEE" w:rsidP="00534854">
      <w:pPr>
        <w:numPr>
          <w:ilvl w:val="0"/>
          <w:numId w:val="7"/>
        </w:numPr>
        <w:jc w:val="both"/>
        <w:rPr>
          <w:rFonts w:ascii="Tahoma" w:hAnsi="Tahoma" w:cs="Tahoma"/>
          <w:b/>
          <w:bCs/>
        </w:rPr>
      </w:pPr>
      <w:r w:rsidRPr="000D5EEE">
        <w:rPr>
          <w:rFonts w:ascii="Tahoma" w:hAnsi="Tahoma" w:cs="Tahoma"/>
        </w:rPr>
        <w:t>Con fecha 10 de febrero del 2011, se programó la diligencia de Audiencia Pública, la cual no se llevó a cabo por inasistencia de las partes.</w:t>
      </w:r>
    </w:p>
    <w:p w:rsidR="000D5EEE" w:rsidRPr="000D5EEE" w:rsidRDefault="000D5EEE" w:rsidP="00534854">
      <w:pPr>
        <w:pStyle w:val="Prrafodelista"/>
        <w:jc w:val="both"/>
        <w:rPr>
          <w:b/>
          <w:bCs/>
          <w:sz w:val="20"/>
          <w:szCs w:val="20"/>
        </w:rPr>
      </w:pPr>
    </w:p>
    <w:p w:rsidR="000D5EEE" w:rsidRPr="000D5EEE" w:rsidRDefault="000D5EEE" w:rsidP="00534854">
      <w:pPr>
        <w:numPr>
          <w:ilvl w:val="0"/>
          <w:numId w:val="7"/>
        </w:numPr>
        <w:jc w:val="both"/>
        <w:rPr>
          <w:rFonts w:ascii="Tahoma" w:hAnsi="Tahoma" w:cs="Tahoma"/>
        </w:rPr>
      </w:pPr>
      <w:r w:rsidRPr="000D5EEE">
        <w:rPr>
          <w:rFonts w:ascii="Tahoma" w:hAnsi="Tahoma" w:cs="Tahoma"/>
        </w:rPr>
        <w:t>Con escrito de fecha 10 de febrero de 2011, el apoderado judicial de la Entidad reiteró los argumentos presentados en este procedimiento, y se ratificó en la responsabilidad del consorcio por la presentación de documentos falsos.</w:t>
      </w:r>
    </w:p>
    <w:p w:rsidR="000D5EEE" w:rsidRPr="000D5EEE" w:rsidRDefault="000D5EEE" w:rsidP="00534854">
      <w:pPr>
        <w:pStyle w:val="Prrafodelista"/>
        <w:jc w:val="both"/>
        <w:rPr>
          <w:sz w:val="20"/>
          <w:szCs w:val="20"/>
        </w:rPr>
      </w:pPr>
    </w:p>
    <w:p w:rsidR="000D5EEE" w:rsidRPr="000D5EEE" w:rsidRDefault="000D5EEE" w:rsidP="00534854">
      <w:pPr>
        <w:jc w:val="both"/>
        <w:rPr>
          <w:rFonts w:ascii="Tahoma" w:hAnsi="Tahoma" w:cs="Tahoma"/>
          <w:b/>
          <w:shadow/>
        </w:rPr>
      </w:pPr>
      <w:r w:rsidRPr="000D5EEE">
        <w:rPr>
          <w:rFonts w:ascii="Tahoma" w:hAnsi="Tahoma" w:cs="Tahoma"/>
          <w:b/>
          <w:shadow/>
        </w:rPr>
        <w:t>FUNDAMENTACIÓN:</w:t>
      </w:r>
    </w:p>
    <w:p w:rsidR="000D5EEE" w:rsidRPr="000D5EEE" w:rsidRDefault="000D5EEE" w:rsidP="00534854">
      <w:pPr>
        <w:jc w:val="both"/>
        <w:rPr>
          <w:rFonts w:ascii="Tahoma" w:hAnsi="Tahoma" w:cs="Tahoma"/>
          <w:b/>
          <w:bCs/>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El presente procedimiento ha sido iniciado para determinar si las empresas  consorciadas </w:t>
      </w:r>
      <w:r w:rsidRPr="000D5EEE">
        <w:rPr>
          <w:rFonts w:ascii="Tahoma" w:hAnsi="Tahoma" w:cs="Tahoma"/>
          <w:b/>
          <w:bCs/>
        </w:rPr>
        <w:t>TECNOLOGIA Y DESARROLLO PERU S.A.C. Y ORGANIZACIÓN MEDICA Y DE SERVICIOS SANTA ANITA S.A.C.</w:t>
      </w:r>
      <w:r w:rsidRPr="000D5EEE">
        <w:rPr>
          <w:rFonts w:ascii="Tahoma" w:hAnsi="Tahoma" w:cs="Tahoma"/>
        </w:rPr>
        <w:t>, en adelante Consorcio, han incurrido en responsabilidad administrativa por la presentación de documentos falsos o inexactos durante el desarrollo de la Adjudicación de Menor Cuantía Nº 260/2010-ESSALUD-RAA (AMC Nº 1006M02602) para la contratación del servicio de hospitalización médica para pacientes con cuidados especiales para la Red Asistencial Almenara; infracción tipificada en el literal i) del numeral 51.1 del artículo 51 de la Ley de Contrataciones del Estado</w:t>
      </w:r>
      <w:r w:rsidRPr="000D5EEE">
        <w:rPr>
          <w:rFonts w:ascii="Tahoma" w:hAnsi="Tahoma" w:cs="Tahoma"/>
          <w:vertAlign w:val="superscript"/>
        </w:rPr>
        <w:footnoteReference w:id="2"/>
      </w:r>
      <w:r w:rsidRPr="000D5EEE">
        <w:rPr>
          <w:rFonts w:ascii="Tahoma" w:hAnsi="Tahoma" w:cs="Tahoma"/>
        </w:rPr>
        <w:t>, en adelante la Ley, concordante con el literal i) del numeral 1 del artículo 237 de su Reglamento</w:t>
      </w:r>
      <w:r w:rsidRPr="000D5EEE">
        <w:rPr>
          <w:rFonts w:ascii="Tahoma" w:hAnsi="Tahoma" w:cs="Tahoma"/>
          <w:vertAlign w:val="superscript"/>
        </w:rPr>
        <w:footnoteReference w:id="3"/>
      </w:r>
      <w:r w:rsidRPr="000D5EEE">
        <w:rPr>
          <w:rFonts w:ascii="Tahoma" w:hAnsi="Tahoma" w:cs="Tahoma"/>
        </w:rPr>
        <w:t>, normas vigentes al suscitarse los hechos.</w:t>
      </w:r>
    </w:p>
    <w:p w:rsidR="000D5EEE" w:rsidRPr="000D5EEE" w:rsidRDefault="000D5EEE" w:rsidP="00534854">
      <w:pPr>
        <w:ind w:left="720"/>
        <w:jc w:val="both"/>
        <w:rPr>
          <w:rFonts w:ascii="Tahoma" w:hAnsi="Tahoma" w:cs="Tahoma"/>
          <w:b/>
          <w:bCs/>
        </w:rPr>
      </w:pPr>
    </w:p>
    <w:p w:rsidR="000D5EEE" w:rsidRPr="000D5EEE" w:rsidRDefault="000D5EEE" w:rsidP="00534854">
      <w:pPr>
        <w:numPr>
          <w:ilvl w:val="0"/>
          <w:numId w:val="11"/>
        </w:numPr>
        <w:jc w:val="both"/>
        <w:rPr>
          <w:rFonts w:ascii="Tahoma" w:hAnsi="Tahoma" w:cs="Tahoma"/>
        </w:rPr>
      </w:pPr>
      <w:r w:rsidRPr="000D5EEE">
        <w:rPr>
          <w:rFonts w:ascii="Tahoma" w:hAnsi="Tahoma" w:cs="Tahoma"/>
        </w:rPr>
        <w:t>Sobre el particular, el literal i) del artículo 51º de la Ley, concordante con el artículo 237º del Reglamento establece que los agentes privados de la contratación incurrirán en infracción susceptible de sanción cuando presenten documentos falsos o información inexacta a las Entidades, al Tribunal o al OSCE. Dicha infracción se configura con la sola presentación del documento falso o inexacto, sin que la norma exija otros factores adicionales ; es decir, con la sola afectación del Principio de Presunción de Veracidad</w:t>
      </w:r>
      <w:r w:rsidRPr="000D5EEE">
        <w:rPr>
          <w:rStyle w:val="Refdenotaalpie"/>
          <w:rFonts w:ascii="Tahoma" w:hAnsi="Tahoma" w:cs="Tahoma"/>
        </w:rPr>
        <w:footnoteReference w:id="4"/>
      </w:r>
      <w:r w:rsidRPr="000D5EEE">
        <w:rPr>
          <w:rFonts w:ascii="Tahoma" w:hAnsi="Tahoma" w:cs="Tahoma"/>
        </w:rPr>
        <w:t xml:space="preserve"> consagrado en el acápite 1.7 del Artículo IV del Título Preliminar de la Ley Nº 27444, del Procedimiento Administrativo General, por cuanto la Administración Pública presume que </w:t>
      </w:r>
      <w:r w:rsidRPr="000D5EEE">
        <w:rPr>
          <w:rFonts w:ascii="Tahoma" w:hAnsi="Tahoma" w:cs="Tahoma"/>
        </w:rPr>
        <w:lastRenderedPageBreak/>
        <w:t>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0D5EEE" w:rsidRPr="000D5EEE" w:rsidRDefault="000D5EEE" w:rsidP="00534854">
      <w:pPr>
        <w:ind w:left="360"/>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Asimismo, </w:t>
      </w:r>
      <w:r w:rsidRPr="000D5EEE">
        <w:rPr>
          <w:rFonts w:ascii="Tahoma" w:hAnsi="Tahoma" w:cs="Tahoma"/>
          <w:lang w:val="es-MX"/>
        </w:rPr>
        <w:t xml:space="preserve">el artículo 42º de la Ley de Procedimiento Administrativo General establece que todas las declaraciones juradas, </w:t>
      </w:r>
      <w:r w:rsidRPr="00534854">
        <w:rPr>
          <w:rFonts w:ascii="Tahoma" w:hAnsi="Tahoma" w:cs="Tahoma"/>
          <w:lang w:val="es-MX"/>
        </w:rPr>
        <w:t xml:space="preserve">los documentos sucedáneos presentados y la información incluida en los escritos y formularios que presenten los administrados para la realización de procedimientos administrativos, </w:t>
      </w:r>
      <w:r w:rsidRPr="00534854">
        <w:rPr>
          <w:rFonts w:ascii="Tahoma" w:hAnsi="Tahoma" w:cs="Tahoma"/>
          <w:bCs/>
          <w:lang w:val="es-MX"/>
        </w:rPr>
        <w:t>se presumen verificados por quien hace uso de ellos, así como de contenido veraz para fines del procedimiento administrativo</w:t>
      </w:r>
      <w:r w:rsidRPr="000D5EEE">
        <w:rPr>
          <w:rFonts w:ascii="Tahoma" w:hAnsi="Tahoma" w:cs="Tahoma"/>
          <w:lang w:val="es-MX"/>
        </w:rPr>
        <w:t xml:space="preserve">. Sin embargo, esta presunción es de índole </w:t>
      </w:r>
      <w:r w:rsidRPr="000D5EEE">
        <w:rPr>
          <w:rFonts w:ascii="Tahoma" w:hAnsi="Tahoma" w:cs="Tahoma"/>
          <w:i/>
          <w:iCs/>
          <w:lang w:val="es-MX"/>
        </w:rPr>
        <w:t>juris tantum</w:t>
      </w:r>
      <w:r w:rsidRPr="000D5EEE">
        <w:rPr>
          <w:rFonts w:ascii="Tahoma" w:hAnsi="Tahoma" w:cs="Tahoma"/>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Concordante con lo manifestado, el inciso 4) del artículo 56º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En línea con lo anterior, el literal c) del numeral 1 del artículo 42º del Reglamento establece que los postores y/o contratistas </w:t>
      </w:r>
      <w:r w:rsidRPr="000D5EEE">
        <w:rPr>
          <w:rFonts w:ascii="Tahoma" w:hAnsi="Tahoma" w:cs="Tahoma"/>
          <w:b/>
          <w:bCs/>
        </w:rPr>
        <w:t>son responsables de la veracidad de los documentos e información que presentan para efectos de un proceso de selección determinado</w:t>
      </w:r>
      <w:r w:rsidRPr="000D5EEE">
        <w:rPr>
          <w:rFonts w:ascii="Tahoma" w:hAnsi="Tahoma" w:cs="Tahoma"/>
        </w:rPr>
        <w:t>.</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0D5EEE" w:rsidRPr="000D5EEE" w:rsidRDefault="000D5EEE" w:rsidP="00534854">
      <w:pPr>
        <w:pStyle w:val="Prrafodelista"/>
        <w:jc w:val="both"/>
        <w:rPr>
          <w:sz w:val="20"/>
          <w:szCs w:val="20"/>
          <w:lang w:val="es-PE"/>
        </w:rPr>
      </w:pPr>
    </w:p>
    <w:p w:rsidR="000D5EEE" w:rsidRPr="000D5EEE" w:rsidRDefault="000D5EEE" w:rsidP="00534854">
      <w:pPr>
        <w:ind w:left="720"/>
        <w:jc w:val="both"/>
        <w:rPr>
          <w:rFonts w:ascii="Tahoma" w:hAnsi="Tahoma" w:cs="Tahoma"/>
          <w:i/>
          <w:iCs/>
          <w:lang w:val="es-PE"/>
        </w:rPr>
      </w:pPr>
      <w:r w:rsidRPr="000D5EEE">
        <w:rPr>
          <w:rFonts w:ascii="Tahoma" w:hAnsi="Tahoma" w:cs="Tahoma"/>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0D5EEE">
        <w:rPr>
          <w:rFonts w:ascii="Tahoma" w:hAnsi="Tahoma" w:cs="Tahoma"/>
          <w:i/>
          <w:iCs/>
          <w:lang w:val="es-PE"/>
        </w:rPr>
        <w:t>Principios de Moralidad</w:t>
      </w:r>
      <w:r w:rsidRPr="000D5EEE">
        <w:rPr>
          <w:rFonts w:ascii="Tahoma" w:hAnsi="Tahoma" w:cs="Tahoma"/>
          <w:lang w:val="es-PE"/>
        </w:rPr>
        <w:t xml:space="preserve"> y de </w:t>
      </w:r>
      <w:r w:rsidRPr="000D5EEE">
        <w:rPr>
          <w:rFonts w:ascii="Tahoma" w:hAnsi="Tahoma" w:cs="Tahoma"/>
          <w:i/>
          <w:iCs/>
          <w:lang w:val="es-PE"/>
        </w:rPr>
        <w:t>Presunción de Veracidad.</w:t>
      </w:r>
    </w:p>
    <w:p w:rsidR="000D5EEE" w:rsidRPr="000D5EEE" w:rsidRDefault="000D5EEE" w:rsidP="00534854">
      <w:pPr>
        <w:ind w:left="720"/>
        <w:jc w:val="both"/>
        <w:rPr>
          <w:rFonts w:ascii="Tahoma" w:hAnsi="Tahoma" w:cs="Tahoma"/>
          <w:i/>
          <w:iCs/>
          <w:lang w:val="es-PE"/>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En lo que concierne al fondo del asunto, en el presente caso la imputación efectuada contra el consorcio se refiere al primer supuesto de hecho contenido en la referida causal, es decir por la presentación de documentación falsa, razón por la cual deberá determinarse si los siguientes documentos: Resolución Directoral s/n de fecha 15 de julio de 2009 y </w:t>
      </w:r>
      <w:r w:rsidRPr="000D5EEE">
        <w:rPr>
          <w:rFonts w:ascii="Tahoma" w:hAnsi="Tahoma" w:cs="Tahoma"/>
          <w:b/>
          <w:bCs/>
        </w:rPr>
        <w:t xml:space="preserve"> </w:t>
      </w:r>
      <w:r w:rsidRPr="000D5EEE">
        <w:rPr>
          <w:rFonts w:ascii="Tahoma" w:hAnsi="Tahoma" w:cs="Tahoma"/>
        </w:rPr>
        <w:t>la Constancia de Registro s/n de fecha 05 de enero de 2010,  son o no verdaderos, o siendo verdaderos han sufrido adulteración.</w:t>
      </w:r>
    </w:p>
    <w:p w:rsidR="000D5EEE" w:rsidRPr="000D5EEE" w:rsidRDefault="000D5EEE" w:rsidP="00534854">
      <w:pPr>
        <w:ind w:left="360"/>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Sobre el particular, la Entidad sustentó los hechos denunciados con el Informe Nº 03-PCECC-HNGAI-RAA-ESSALUD-2010, mediante el cual, el Dr. Aldo Forttini Headrington indicó que la Resolución Directoral de fecha 15 de julio de 2009, documento falso,  fue presentado por la empresa  Tecnología y Desarrollo Perú S.A.C. en dos procesos distintos, AMC Nº 1006M01192 y AMC Nº 1006M02602.</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Al respecto, debe señalarse que en el presente procedimiento, el Consorcio del cual formaba parte la empresa Tecnología y Desarrollo Perú S.A.C., no sólo presentó la Resolución Directoral de fecha 15 de julio de 2009 sino también la Constancia de </w:t>
      </w:r>
      <w:r w:rsidRPr="000D5EEE">
        <w:rPr>
          <w:rFonts w:ascii="Tahoma" w:hAnsi="Tahoma" w:cs="Tahoma"/>
        </w:rPr>
        <w:lastRenderedPageBreak/>
        <w:t>Registro de fecha 05 de enero de 2010, documentos mediante los cuales, se acreditaba contar con Licencia de Apertura de Funcionamiento con categorización de Nivel II-1, requisito obligatorio señalado en las Bases Administrativas.</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En ese sentido, una primera circunstancia a analizar, es la relacionada con la presunta falsedad del documento en cuestión. Para que dicha falsedad se verifique, constituye mérito suficiente la manifestación efectuada por el propio agente emisor o beneficiario del servicio y/o adquisición, a través de una comunicación oficial, acreditando que el documento cuestionado no ha sido expedido por éste o que siendo válidamente expedido ha sufrido adulteración en su contenido, criterio que ha sido recogido por el Tribunal en anteriores oportunidades.</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A fin de dilucidar este asunto, la Entidad solicitó a la Dirección de la DISA V Lima  verificar la autenticidad de la Resolución Directoral de fecha 15 de julio de 2009 y de la Constancia de Registro de fecha 05 de enero de 2010, a efectos de constatar si se ha vulnerado el principio de presunción de veracidad por parte del Postor.</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Ante dicho requerimiento, con Oficio Nº 2641-2010-DG-DESP-DSS-DISA-V-LC el Jefe de la Unidad de Adquisiciones de la DISA V,</w:t>
      </w:r>
      <w:r w:rsidRPr="000D5EEE">
        <w:rPr>
          <w:rFonts w:ascii="Tahoma" w:hAnsi="Tahoma" w:cs="Tahoma"/>
          <w:b/>
          <w:bCs/>
        </w:rPr>
        <w:t xml:space="preserve"> </w:t>
      </w:r>
      <w:r w:rsidRPr="000D5EEE">
        <w:rPr>
          <w:rFonts w:ascii="Tahoma" w:hAnsi="Tahoma" w:cs="Tahoma"/>
        </w:rPr>
        <w:t>indicó que los referidos documentos no fueron emitidos por dicha dirección, pues, entre otras razones,  no cuentan con la numeración correlativa de la emisión de resolución directoral, no ha sido recibido expediente alguno para trámite de categorización de establecimiento de salud, en dicha dependencia no se otorga licencia de funcionamiento sino resolución de categorización, el sello y firma obrante no corresponde a los funcionarios autorizados; y, el Decreto Supremo  consignado en los considerados de la Resolución D.S. Nº 023-87-SA fueron derogados en junio de 2006. En tal sentido, por los motivos indicados, se confirmó la falsedad de los documentos cuestionados.</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En este orden de ideas, y en virtud a la valoración de los medios probatorios aportados por la Entidad, este Colegiado concluye que el Consorcio ha presentado documentos falsos ante la Entidad, dado que en el presente caso el emisor del documento cuestionado, ha señalado que la Resolución Directoral de fecha 15 de julio de 2009 y la Constancia de Registro de fecha 05 de enero de 2010, no han sido emitidas por su dependencia, por lo que se concluye que se trata de un documento falso.</w:t>
      </w:r>
    </w:p>
    <w:p w:rsidR="000D5EEE" w:rsidRPr="000D5EEE" w:rsidRDefault="000D5EEE" w:rsidP="00534854">
      <w:pPr>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En consecuencia, la conducta del Consorcio supone una trasgresión del </w:t>
      </w:r>
      <w:r w:rsidRPr="000D5EEE">
        <w:rPr>
          <w:rFonts w:ascii="Tahoma" w:hAnsi="Tahoma" w:cs="Tahoma"/>
          <w:i/>
          <w:iCs/>
        </w:rPr>
        <w:t>principio de presunción de veracidad</w:t>
      </w:r>
      <w:r w:rsidRPr="000D5EEE">
        <w:rPr>
          <w:rFonts w:ascii="Tahoma" w:hAnsi="Tahoma" w:cs="Tahoma"/>
        </w:rPr>
        <w:t>, a que se contrae el numeral 2 de la presente Fundamentación, en vista que, si bien a través de dicho principio la Administración Pública se encuentra en el deber de presumir como veraces los documentos presentados por el administrado, esta situación ha quedado desvirtuada desde el momento en que se ha verificado que el documento cuestionado es falso.</w:t>
      </w:r>
    </w:p>
    <w:p w:rsidR="000D5EEE" w:rsidRPr="000D5EEE" w:rsidRDefault="000D5EEE" w:rsidP="00534854">
      <w:pPr>
        <w:jc w:val="both"/>
        <w:rPr>
          <w:rFonts w:ascii="Tahoma" w:hAnsi="Tahoma" w:cs="Tahoma"/>
        </w:rPr>
      </w:pPr>
    </w:p>
    <w:p w:rsidR="000D5EEE" w:rsidRPr="000D5EEE" w:rsidRDefault="000D5EEE" w:rsidP="00534854">
      <w:pPr>
        <w:numPr>
          <w:ilvl w:val="0"/>
          <w:numId w:val="11"/>
        </w:numPr>
        <w:jc w:val="both"/>
        <w:rPr>
          <w:rFonts w:ascii="Tahoma" w:hAnsi="Tahoma" w:cs="Tahoma"/>
          <w:b/>
          <w:bCs/>
        </w:rPr>
      </w:pPr>
      <w:r w:rsidRPr="000D5EEE">
        <w:rPr>
          <w:rFonts w:ascii="Tahoma" w:hAnsi="Tahoma" w:cs="Tahoma"/>
        </w:rPr>
        <w:t xml:space="preserve">En ese orden de ideas, al haber presentado documentación falsa, el Consorcio ha contravenido el  </w:t>
      </w:r>
      <w:r w:rsidRPr="000D5EEE">
        <w:rPr>
          <w:rFonts w:ascii="Tahoma" w:hAnsi="Tahoma" w:cs="Tahoma"/>
          <w:i/>
          <w:iCs/>
        </w:rPr>
        <w:t>Principio de Moralidad</w:t>
      </w:r>
      <w:r w:rsidRPr="000D5EEE">
        <w:rPr>
          <w:rFonts w:ascii="Tahoma" w:hAnsi="Tahoma" w:cs="Tahoma"/>
        </w:rPr>
        <w:t xml:space="preserve"> que rige la contratación estatal y bajo el cual éstas deben caracterizarse por la </w:t>
      </w:r>
      <w:r w:rsidRPr="000D5EEE">
        <w:rPr>
          <w:rFonts w:ascii="Tahoma" w:hAnsi="Tahoma" w:cs="Tahoma"/>
          <w:i/>
          <w:iCs/>
        </w:rPr>
        <w:t>honradez, veracidad, intangibilidad, justicia y probidad</w:t>
      </w:r>
      <w:r w:rsidRPr="000D5EEE">
        <w:rPr>
          <w:rFonts w:ascii="Tahoma" w:hAnsi="Tahoma" w:cs="Tahoma"/>
        </w:rPr>
        <w:t xml:space="preserve">; así como por resultar contraria al artículo 62 del Reglamento, </w:t>
      </w:r>
      <w:r w:rsidRPr="000D5EEE">
        <w:rPr>
          <w:rFonts w:ascii="Tahoma" w:hAnsi="Tahoma" w:cs="Tahoma"/>
          <w:b/>
          <w:bCs/>
        </w:rPr>
        <w:t>que establece que el Postor será responsable de la exactitud y veracidad de los documentos que presente como parte de su propuesta técnica.</w:t>
      </w:r>
    </w:p>
    <w:p w:rsidR="000D5EEE" w:rsidRPr="000D5EEE" w:rsidRDefault="000D5EEE" w:rsidP="00534854">
      <w:pPr>
        <w:jc w:val="both"/>
        <w:rPr>
          <w:rFonts w:ascii="Tahoma" w:hAnsi="Tahoma" w:cs="Tahoma"/>
          <w:b/>
          <w:bCs/>
        </w:rPr>
      </w:pPr>
    </w:p>
    <w:p w:rsidR="000D5EEE" w:rsidRPr="000D5EEE" w:rsidRDefault="000D5EEE" w:rsidP="00534854">
      <w:pPr>
        <w:numPr>
          <w:ilvl w:val="0"/>
          <w:numId w:val="11"/>
        </w:numPr>
        <w:tabs>
          <w:tab w:val="num" w:pos="567"/>
        </w:tabs>
        <w:jc w:val="both"/>
        <w:rPr>
          <w:rFonts w:ascii="Tahoma" w:hAnsi="Tahoma" w:cs="Tahoma"/>
          <w:b/>
          <w:bCs/>
        </w:rPr>
      </w:pPr>
      <w:r w:rsidRPr="000D5EEE">
        <w:rPr>
          <w:rFonts w:ascii="Tahoma" w:hAnsi="Tahoma" w:cs="Tahoma"/>
          <w:b/>
          <w:bCs/>
        </w:rPr>
        <w:t xml:space="preserve">  </w:t>
      </w:r>
      <w:r w:rsidRPr="000D5EEE">
        <w:rPr>
          <w:rFonts w:ascii="Tahoma" w:hAnsi="Tahoma" w:cs="Tahoma"/>
        </w:rPr>
        <w:t xml:space="preserve">Consecuentemente, la conducta desarrollada por el Consorcio califica dentro del supuesto de hecho de la infracción tipificada en el numeral 1) literal i) del artículo 51 de la Ley y 237 del Reglamento, por la cual corresponde imponer una sanción administrativa de </w:t>
      </w:r>
      <w:r w:rsidRPr="000D5EEE">
        <w:rPr>
          <w:rFonts w:ascii="Tahoma" w:hAnsi="Tahoma" w:cs="Tahoma"/>
        </w:rPr>
        <w:lastRenderedPageBreak/>
        <w:t xml:space="preserve">inhabilitación para ser postor y contratar con el Estado por un período no menor de doce (12) ni mayor de treintaiseis (36) meses, </w:t>
      </w:r>
      <w:r w:rsidRPr="000D5EEE">
        <w:rPr>
          <w:rFonts w:ascii="Tahoma" w:hAnsi="Tahoma" w:cs="Tahoma"/>
          <w:lang w:val="es-MX"/>
        </w:rPr>
        <w:t xml:space="preserve">conforme a los criterios </w:t>
      </w:r>
      <w:r w:rsidRPr="000D5EEE">
        <w:rPr>
          <w:rFonts w:ascii="Tahoma" w:hAnsi="Tahoma" w:cs="Tahoma"/>
        </w:rPr>
        <w:t>para la determinación gradual de la sanción previstos en el artículo 245</w:t>
      </w:r>
      <w:r w:rsidRPr="000D5EEE">
        <w:rPr>
          <w:rFonts w:ascii="Tahoma" w:hAnsi="Tahoma" w:cs="Tahoma"/>
          <w:vertAlign w:val="superscript"/>
        </w:rPr>
        <w:footnoteReference w:id="5"/>
      </w:r>
      <w:r w:rsidRPr="000D5EEE">
        <w:rPr>
          <w:rFonts w:ascii="Tahoma" w:hAnsi="Tahoma" w:cs="Tahoma"/>
        </w:rPr>
        <w:t xml:space="preserve"> del Reglamento.</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Ahora bien, teniendo en cuenta que se ha determinado responsabilidad administrativa por la presentación de un documento falso, y al tratarse el postor de un consorcio conformado por dos proveedores, corresponde aplicar las disposiciones que al respecto contiene el Reglamento.</w:t>
      </w:r>
    </w:p>
    <w:p w:rsidR="000D5EEE" w:rsidRPr="000D5EEE" w:rsidRDefault="000D5EEE" w:rsidP="00534854">
      <w:pPr>
        <w:jc w:val="both"/>
        <w:rPr>
          <w:rFonts w:ascii="Tahoma" w:hAnsi="Tahoma" w:cs="Tahoma"/>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 En este sentido, el artículo 239º del Reglamento señala que las infracciones cometidas por los postores que presentaron promesa de consorcio durante su participación en el proceso de selección, se imputarán exclusivamente a la parte que las haya cometido, aplicándose sólo a ésta la sanción a que hubiera lugar, siempre que pueda individualizarse al infractor. Dispositivo que resulta aplicable al presente caso, al haber ocurrido los hechos materia de análisis durante la participación del consorcio en el proceso de selección.</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Así, a fin de determinar si corresponde imponer sanción administrativa a todos los integrantes del consorcio o corresponde individualizar la responsabilidad, debe observarse que el presente proceso de selección se convocó para el servicio de hospitalización médica,  para lo cual, en la Promesa Formal de Consorcio obrante en la propuesta técnica,  se indicó que ambas empresas cumplían con las Bases y los requerimientos técnicos mínimos, sin indicar quien sería el responsable por la elaboración de la propuesta o la recopilación de documentos, tales como licencias o facturas, autorizaciones, etc, por tal motivo, en virtud al Principio de Verdad Material, corresponde determinar las obligaciones que cada uno de los proveedores asumió en el consorcio, a fin de analizar la responsabilidad de los mismos.</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En virtud a ello, si bien no se determinó otro tipo de obligación  de las empresas en la promesa formal de consorcio, al momento de presentar los descargos respectivos, la empresa </w:t>
      </w:r>
      <w:r w:rsidRPr="000D5EEE">
        <w:rPr>
          <w:rFonts w:ascii="Tahoma" w:hAnsi="Tahoma" w:cs="Tahoma"/>
          <w:b/>
          <w:bCs/>
        </w:rPr>
        <w:t xml:space="preserve">Organización Médica y de Servicios Santa Anita S.A.C., </w:t>
      </w:r>
      <w:r w:rsidRPr="000D5EEE">
        <w:rPr>
          <w:rFonts w:ascii="Tahoma" w:hAnsi="Tahoma" w:cs="Tahoma"/>
        </w:rPr>
        <w:t>presentó el Contrato Marco de fecha  05 de abril de 2010, suscrito entre las empresas integrantes de consorcio, el que se constituye como un documento privado con eficacia entre las partes, mediante el cual, se determinó con precisión las obligaciones de cada empresa interviniente.</w:t>
      </w:r>
    </w:p>
    <w:p w:rsidR="000D5EEE" w:rsidRPr="000D5EEE" w:rsidRDefault="000D5EEE" w:rsidP="00534854">
      <w:pPr>
        <w:pStyle w:val="Prrafodelista"/>
        <w:jc w:val="both"/>
        <w:rPr>
          <w:sz w:val="20"/>
          <w:szCs w:val="20"/>
        </w:rPr>
      </w:pPr>
    </w:p>
    <w:p w:rsidR="000D5EEE" w:rsidRPr="00835829" w:rsidRDefault="000D5EEE" w:rsidP="00835829">
      <w:pPr>
        <w:numPr>
          <w:ilvl w:val="0"/>
          <w:numId w:val="11"/>
        </w:numPr>
        <w:jc w:val="both"/>
        <w:rPr>
          <w:rFonts w:ascii="Tahoma" w:hAnsi="Tahoma" w:cs="Tahoma"/>
        </w:rPr>
      </w:pPr>
      <w:r w:rsidRPr="00835829">
        <w:rPr>
          <w:rFonts w:ascii="Tahoma" w:hAnsi="Tahoma" w:cs="Tahoma"/>
        </w:rPr>
        <w:t xml:space="preserve">En dicho acuerdo de partes se indicó que le correspondía a la empresa Tecnología y Desarrollo Perú S.A.C. elaborar, preparar  y presentar la oferta conjunta, gestionar y obtener toda la documentación pública o privada  propia de las partes contratantes, o de terceros que ESSALUD solicite o que fuera necesario para la presentación de la oferta, pagar penalidades derivadas del incumplimiento, brindar el servicio de hospitalización especializado y la contratación de profesionales médicos, asistenciales Técnicos. Por otro lado, la empresa Organización Médica y de Servicios Santa Anita S.A.C., tenía como </w:t>
      </w:r>
      <w:r w:rsidRPr="00835829">
        <w:rPr>
          <w:rFonts w:ascii="Tahoma" w:hAnsi="Tahoma" w:cs="Tahoma"/>
        </w:rPr>
        <w:lastRenderedPageBreak/>
        <w:t xml:space="preserve">obligaciones la ejecución del servicio de hospitalización que no pudiera brindar su consorciada, el proporcionar equipos, maquinas, y accesorio instrumental; y, el pago de penalidades derivadas del incumplimiento o cumplimiento parcial. </w:t>
      </w:r>
    </w:p>
    <w:p w:rsidR="000D5EEE" w:rsidRPr="000D5EEE" w:rsidRDefault="000D5EEE" w:rsidP="00534854">
      <w:pPr>
        <w:ind w:left="720"/>
        <w:jc w:val="both"/>
        <w:rPr>
          <w:rFonts w:ascii="Tahoma" w:hAnsi="Tahoma" w:cs="Tahoma"/>
        </w:rPr>
      </w:pPr>
    </w:p>
    <w:p w:rsidR="000D5EEE" w:rsidRPr="000D5EEE" w:rsidRDefault="000D5EEE" w:rsidP="00534854">
      <w:pPr>
        <w:ind w:left="720"/>
        <w:jc w:val="both"/>
        <w:rPr>
          <w:rFonts w:ascii="Tahoma" w:hAnsi="Tahoma" w:cs="Tahoma"/>
        </w:rPr>
      </w:pPr>
      <w:r w:rsidRPr="000D5EEE">
        <w:rPr>
          <w:rFonts w:ascii="Tahoma" w:hAnsi="Tahoma" w:cs="Tahoma"/>
        </w:rPr>
        <w:t>En virtud a las obligaciones antes señaladas, se puede verificar que la empresa Organización Médica y de Servicios Santa Anita S.A.C. no tuvo injerencia alguna respecto a los documentos cuestionados, pues no era parte de sus funciones tramitarlas, ni mucho menos presentarlas.</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Adicionalmente, debe indicarse que los documento cuestionado pertenece a la esfera de dominio de la empresa Tecnología y Desarrollo Perú S.A.C, y al haber sido elaborada la propuesta por la misma empresa, se verifica que solo ella tuvo participación respecto al uso de los documentos cuestionados.</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Al respecto, es preciso señalar que la empresa encargada de elaborar la propuesta tiene la responsabilidad no sólo de recopilar la información proporcionada por las demás consorciadas, sino de velar por la integridad de los documentos presentados, asumiendo el control de los mismos, y manteniendo intangiblemente su contenido.</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tabs>
          <w:tab w:val="left" w:pos="0"/>
        </w:tabs>
        <w:autoSpaceDE w:val="0"/>
        <w:autoSpaceDN w:val="0"/>
        <w:adjustRightInd w:val="0"/>
        <w:jc w:val="both"/>
        <w:rPr>
          <w:rFonts w:ascii="Tahoma" w:hAnsi="Tahoma" w:cs="Tahoma"/>
        </w:rPr>
      </w:pPr>
      <w:r w:rsidRPr="000D5EEE">
        <w:rPr>
          <w:rFonts w:ascii="Tahoma" w:hAnsi="Tahoma" w:cs="Tahoma"/>
        </w:rPr>
        <w:t xml:space="preserve">En ese sentido, teniendo en cuenta los hechos planteados y los actos de cada uno de los consorciados, puede establecerse que la empresa  </w:t>
      </w:r>
      <w:r w:rsidRPr="000D5EEE">
        <w:rPr>
          <w:rFonts w:ascii="Tahoma" w:hAnsi="Tahoma" w:cs="Tahoma"/>
          <w:b/>
          <w:bCs/>
        </w:rPr>
        <w:t>Organización Médica y de Servicios Santa Anita S.A.C.</w:t>
      </w:r>
      <w:r w:rsidRPr="000D5EEE">
        <w:rPr>
          <w:rFonts w:ascii="Tahoma" w:hAnsi="Tahoma" w:cs="Tahoma"/>
        </w:rPr>
        <w:t>, no elaboró la propuesta técnica ni aportó los documentos cuestionados como falsos. En este orden de ideas, corresponde eximir de responsabilidad a la consorciada antes indicada.</w:t>
      </w:r>
    </w:p>
    <w:p w:rsidR="000D5EEE" w:rsidRPr="000D5EEE" w:rsidRDefault="000D5EEE" w:rsidP="00534854">
      <w:pPr>
        <w:tabs>
          <w:tab w:val="left" w:pos="0"/>
        </w:tabs>
        <w:autoSpaceDE w:val="0"/>
        <w:autoSpaceDN w:val="0"/>
        <w:adjustRightInd w:val="0"/>
        <w:ind w:left="720"/>
        <w:jc w:val="both"/>
        <w:rPr>
          <w:rFonts w:ascii="Tahoma" w:hAnsi="Tahoma" w:cs="Tahoma"/>
        </w:rPr>
      </w:pPr>
    </w:p>
    <w:p w:rsidR="000D5EEE" w:rsidRPr="000D5EEE" w:rsidRDefault="000D5EEE" w:rsidP="00534854">
      <w:pPr>
        <w:numPr>
          <w:ilvl w:val="0"/>
          <w:numId w:val="11"/>
        </w:numPr>
        <w:tabs>
          <w:tab w:val="left" w:pos="0"/>
        </w:tabs>
        <w:autoSpaceDE w:val="0"/>
        <w:autoSpaceDN w:val="0"/>
        <w:adjustRightInd w:val="0"/>
        <w:jc w:val="both"/>
        <w:rPr>
          <w:rFonts w:ascii="Tahoma" w:hAnsi="Tahoma" w:cs="Tahoma"/>
        </w:rPr>
      </w:pPr>
      <w:r w:rsidRPr="000D5EEE">
        <w:rPr>
          <w:rFonts w:ascii="Tahoma" w:hAnsi="Tahoma" w:cs="Tahoma"/>
        </w:rPr>
        <w:t>Por otro lado, habiéndose demostrado en el presente procedimiento que la empresa Tecnología y Desarrollo Perú S.A.C  elaboró la propuesta, fue el encargado de recopilar la documentación, tuvo dominio sobre el uso del documento y adicionalmente, el documento estaba emitido a su nombre, en este escenario, corresponde imputar responsabilidad administrativa a las empresa antes descrita.</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 xml:space="preserve">En tal sentido, y a efectos de graduar la sanción a imponerse a la empresa consorciada, este Colegiado debe tener en cuenta que, de acuerdo al </w:t>
      </w:r>
      <w:r w:rsidRPr="000D5EEE">
        <w:rPr>
          <w:rFonts w:ascii="Tahoma" w:hAnsi="Tahoma" w:cs="Tahoma"/>
          <w:i/>
          <w:iCs/>
        </w:rPr>
        <w:t>Principio de Razonabilidad</w:t>
      </w:r>
      <w:r w:rsidRPr="000D5EEE">
        <w:rPr>
          <w:rFonts w:ascii="Tahoma" w:hAnsi="Tahoma" w:cs="Tahoma"/>
        </w:rPr>
        <w:t xml:space="preserve">,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jc w:val="both"/>
        <w:rPr>
          <w:rFonts w:ascii="Tahoma" w:hAnsi="Tahoma" w:cs="Tahoma"/>
        </w:rPr>
      </w:pPr>
      <w:r w:rsidRPr="000D5EEE">
        <w:rPr>
          <w:rFonts w:ascii="Tahoma" w:hAnsi="Tahoma" w:cs="Tahoma"/>
        </w:rPr>
        <w:t>Asimismo,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tabs>
          <w:tab w:val="left" w:pos="0"/>
        </w:tabs>
        <w:autoSpaceDE w:val="0"/>
        <w:autoSpaceDN w:val="0"/>
        <w:adjustRightInd w:val="0"/>
        <w:jc w:val="both"/>
        <w:rPr>
          <w:rFonts w:ascii="Tahoma" w:hAnsi="Tahoma" w:cs="Tahoma"/>
        </w:rPr>
      </w:pPr>
      <w:r w:rsidRPr="000D5EEE">
        <w:rPr>
          <w:rFonts w:ascii="Tahoma" w:hAnsi="Tahoma" w:cs="Tahoma"/>
        </w:rPr>
        <w:t xml:space="preserve">Al respecto, debe tenerse en consideración que, por su naturaleza, la infracción cometida reviste una considerable gravedad, debido a que vulnera el </w:t>
      </w:r>
      <w:r w:rsidRPr="000D5EEE">
        <w:rPr>
          <w:rFonts w:ascii="Tahoma" w:hAnsi="Tahoma" w:cs="Tahoma"/>
          <w:i/>
          <w:iCs/>
        </w:rPr>
        <w:t xml:space="preserve">Principio de Moralidad </w:t>
      </w:r>
      <w:r w:rsidRPr="000D5EEE">
        <w:rPr>
          <w:rFonts w:ascii="Tahoma" w:hAnsi="Tahoma" w:cs="Tahoma"/>
        </w:rPr>
        <w:t xml:space="preserve">que debe regir todos los actos vinculados a las contrataciones públicas. Por lo demás, dicho principio, junto a la </w:t>
      </w:r>
      <w:r w:rsidRPr="000D5EEE">
        <w:rPr>
          <w:rFonts w:ascii="Tahoma" w:hAnsi="Tahoma" w:cs="Tahoma"/>
          <w:i/>
          <w:iCs/>
        </w:rPr>
        <w:t>fe pública</w:t>
      </w:r>
      <w:r w:rsidRPr="000D5EEE">
        <w:rPr>
          <w:rFonts w:ascii="Tahoma" w:hAnsi="Tahoma" w:cs="Tahoma"/>
        </w:rPr>
        <w:t>, constituyen bienes jurídicos merecedores de protección especial, pues constituyen los pilares de las relaciones suscitadas entre la Administración Pública y los administrados.</w:t>
      </w:r>
    </w:p>
    <w:p w:rsidR="000D5EEE" w:rsidRDefault="000D5EEE" w:rsidP="00534854">
      <w:pPr>
        <w:pStyle w:val="Prrafodelista"/>
        <w:jc w:val="both"/>
        <w:rPr>
          <w:sz w:val="20"/>
          <w:szCs w:val="20"/>
        </w:rPr>
      </w:pPr>
    </w:p>
    <w:p w:rsidR="00835829" w:rsidRPr="000D5EEE" w:rsidRDefault="00835829" w:rsidP="00534854">
      <w:pPr>
        <w:pStyle w:val="Prrafodelista"/>
        <w:jc w:val="both"/>
        <w:rPr>
          <w:sz w:val="20"/>
          <w:szCs w:val="20"/>
        </w:rPr>
      </w:pPr>
    </w:p>
    <w:p w:rsidR="000D5EEE" w:rsidRPr="000D5EEE" w:rsidRDefault="000D5EEE" w:rsidP="00534854">
      <w:pPr>
        <w:numPr>
          <w:ilvl w:val="0"/>
          <w:numId w:val="11"/>
        </w:numPr>
        <w:tabs>
          <w:tab w:val="left" w:pos="0"/>
        </w:tabs>
        <w:autoSpaceDE w:val="0"/>
        <w:autoSpaceDN w:val="0"/>
        <w:adjustRightInd w:val="0"/>
        <w:jc w:val="both"/>
        <w:rPr>
          <w:rFonts w:ascii="Tahoma" w:hAnsi="Tahoma" w:cs="Tahoma"/>
        </w:rPr>
      </w:pPr>
      <w:r w:rsidRPr="000D5EEE">
        <w:rPr>
          <w:rFonts w:ascii="Tahoma" w:hAnsi="Tahoma" w:cs="Tahoma"/>
        </w:rPr>
        <w:t>En igual sentido, en cuanto al criterio de intencionalidad del infractor, se ha podido dilucidar que la conducta del postor llevaba implícita la consecución de un fin, como era la de acreditar el cumplimiento de  uno de los requerimientos técnicos mínimos señalados en las Bases, a efectos de satisfacer las necesidades de la Entidad.</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tabs>
          <w:tab w:val="left" w:pos="0"/>
        </w:tabs>
        <w:autoSpaceDE w:val="0"/>
        <w:autoSpaceDN w:val="0"/>
        <w:adjustRightInd w:val="0"/>
        <w:jc w:val="both"/>
        <w:rPr>
          <w:rFonts w:ascii="Tahoma" w:hAnsi="Tahoma" w:cs="Tahoma"/>
        </w:rPr>
      </w:pPr>
      <w:r w:rsidRPr="000D5EEE">
        <w:rPr>
          <w:rFonts w:ascii="Tahoma" w:hAnsi="Tahoma" w:cs="Tahoma"/>
        </w:rPr>
        <w:t>Por otro lado, en relación a la reiterancia, debe indicarse que la empresa Tecnología y Desarrollo Perú S.A.C.  carece de antecedentes en la comisión de infracciones administrativas.</w:t>
      </w:r>
    </w:p>
    <w:p w:rsidR="000D5EEE" w:rsidRPr="000D5EEE" w:rsidRDefault="000D5EEE" w:rsidP="00534854">
      <w:pPr>
        <w:pStyle w:val="Prrafodelista"/>
        <w:jc w:val="both"/>
        <w:rPr>
          <w:sz w:val="20"/>
          <w:szCs w:val="20"/>
        </w:rPr>
      </w:pPr>
    </w:p>
    <w:p w:rsidR="000D5EEE" w:rsidRPr="000D5EEE" w:rsidRDefault="000D5EEE" w:rsidP="00534854">
      <w:pPr>
        <w:numPr>
          <w:ilvl w:val="0"/>
          <w:numId w:val="11"/>
        </w:numPr>
        <w:tabs>
          <w:tab w:val="left" w:pos="0"/>
        </w:tabs>
        <w:autoSpaceDE w:val="0"/>
        <w:autoSpaceDN w:val="0"/>
        <w:adjustRightInd w:val="0"/>
        <w:jc w:val="both"/>
        <w:rPr>
          <w:rFonts w:ascii="Tahoma" w:hAnsi="Tahoma" w:cs="Tahoma"/>
        </w:rPr>
      </w:pPr>
      <w:r w:rsidRPr="000D5EEE">
        <w:rPr>
          <w:rFonts w:ascii="Tahoma" w:hAnsi="Tahoma" w:cs="Tahoma"/>
        </w:rPr>
        <w:t>Asimismo, en lo referido a la conducta procesal del infractor, debe tenerse en cuenta que la empresa consorciada si bien es cierto se apersonó al procedimiento, no formuló ningún argumento de defensa respecto a las imputaciones  indicadas, y no se apersonó a la diligencia de audiencia pública.</w:t>
      </w:r>
    </w:p>
    <w:p w:rsidR="000D5EEE" w:rsidRPr="000D5EEE" w:rsidRDefault="000D5EEE" w:rsidP="00534854">
      <w:pPr>
        <w:pStyle w:val="Prrafodelista"/>
        <w:jc w:val="both"/>
        <w:rPr>
          <w:sz w:val="20"/>
          <w:szCs w:val="20"/>
        </w:rPr>
      </w:pPr>
    </w:p>
    <w:p w:rsidR="000D5EEE" w:rsidRPr="000D5EEE" w:rsidRDefault="000D5EEE" w:rsidP="00534854">
      <w:pPr>
        <w:widowControl w:val="0"/>
        <w:numPr>
          <w:ilvl w:val="0"/>
          <w:numId w:val="11"/>
        </w:numPr>
        <w:suppressAutoHyphens/>
        <w:jc w:val="both"/>
        <w:rPr>
          <w:rFonts w:ascii="Tahoma" w:hAnsi="Tahoma" w:cs="Tahoma"/>
        </w:rPr>
      </w:pPr>
      <w:r w:rsidRPr="000D5EEE">
        <w:rPr>
          <w:rFonts w:ascii="Tahoma" w:hAnsi="Tahoma" w:cs="Tahoma"/>
        </w:rPr>
        <w:t>Consecuentemente, en virtud a los criterios expuestos, este Colegiado considera que corresponde imponer a las empresas Tecnología y Desarrollo Perú S.A.C.  una sanción equivalente a doce (12) meses de inhabilitación temporal para participar en procesos de selección y para contratar con el Estado.</w:t>
      </w:r>
    </w:p>
    <w:p w:rsidR="000D5EEE" w:rsidRPr="000D5EEE" w:rsidRDefault="000D5EEE" w:rsidP="00534854">
      <w:pPr>
        <w:widowControl w:val="0"/>
        <w:suppressAutoHyphens/>
        <w:ind w:left="720"/>
        <w:jc w:val="both"/>
        <w:rPr>
          <w:rFonts w:ascii="Tahoma" w:hAnsi="Tahoma" w:cs="Tahoma"/>
        </w:rPr>
      </w:pPr>
    </w:p>
    <w:p w:rsidR="000D5EEE" w:rsidRPr="000D5EEE" w:rsidRDefault="000D5EEE" w:rsidP="00534854">
      <w:pPr>
        <w:numPr>
          <w:ilvl w:val="0"/>
          <w:numId w:val="11"/>
        </w:numPr>
        <w:jc w:val="both"/>
        <w:rPr>
          <w:rFonts w:ascii="Tahoma" w:hAnsi="Tahoma" w:cs="Tahoma"/>
          <w:b/>
          <w:bCs/>
        </w:rPr>
      </w:pPr>
      <w:r w:rsidRPr="000D5EEE">
        <w:rPr>
          <w:rFonts w:ascii="Tahoma" w:hAnsi="Tahoma" w:cs="Tahoma"/>
        </w:rPr>
        <w:t>Finalmente, atendiendo a que la falsificación de documentos constituye un ilícito penal, previsto y sancionado en el artículo 427º del Código Penal</w:t>
      </w:r>
      <w:r w:rsidRPr="000D5EEE">
        <w:rPr>
          <w:rFonts w:ascii="Tahoma" w:hAnsi="Tahoma" w:cs="Tahoma"/>
          <w:vertAlign w:val="superscript"/>
        </w:rPr>
        <w:footnoteReference w:id="6"/>
      </w:r>
      <w:r w:rsidRPr="000D5EEE">
        <w:rPr>
          <w:rFonts w:ascii="Tahoma" w:hAnsi="Tahoma" w:cs="Tahoma"/>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438º del referido Código Penal</w:t>
      </w:r>
      <w:r w:rsidRPr="000D5EEE">
        <w:rPr>
          <w:rFonts w:ascii="Tahoma" w:hAnsi="Tahoma" w:cs="Tahoma"/>
          <w:vertAlign w:val="superscript"/>
        </w:rPr>
        <w:footnoteReference w:id="7"/>
      </w:r>
      <w:r w:rsidRPr="000D5EEE">
        <w:rPr>
          <w:rFonts w:ascii="Tahoma" w:hAnsi="Tahoma" w:cs="Tahoma"/>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0D5EEE" w:rsidRDefault="000D5EEE" w:rsidP="00534854">
      <w:pPr>
        <w:jc w:val="both"/>
        <w:rPr>
          <w:rFonts w:ascii="Tahoma" w:eastAsia="MS Mincho" w:hAnsi="Tahoma" w:cs="Tahoma"/>
          <w:b/>
          <w:lang w:val="es-ES_tradnl" w:eastAsia="en-US"/>
        </w:rPr>
      </w:pPr>
    </w:p>
    <w:p w:rsidR="00835829" w:rsidRPr="000D5EEE" w:rsidRDefault="00835829" w:rsidP="00534854">
      <w:pPr>
        <w:jc w:val="both"/>
        <w:rPr>
          <w:rFonts w:ascii="Tahoma" w:eastAsia="MS Mincho" w:hAnsi="Tahoma" w:cs="Tahoma"/>
          <w:b/>
          <w:lang w:val="es-ES_tradnl" w:eastAsia="en-US"/>
        </w:rPr>
      </w:pPr>
    </w:p>
    <w:p w:rsidR="000D5EEE" w:rsidRPr="000D5EEE" w:rsidRDefault="000D5EEE" w:rsidP="00534854">
      <w:pPr>
        <w:tabs>
          <w:tab w:val="left" w:pos="3544"/>
          <w:tab w:val="left" w:pos="7230"/>
          <w:tab w:val="left" w:pos="8505"/>
        </w:tabs>
        <w:autoSpaceDE w:val="0"/>
        <w:autoSpaceDN w:val="0"/>
        <w:adjustRightInd w:val="0"/>
        <w:ind w:firstLine="567"/>
        <w:jc w:val="both"/>
        <w:rPr>
          <w:rFonts w:ascii="Tahoma" w:eastAsia="Calibri" w:hAnsi="Tahoma" w:cs="Tahoma"/>
          <w:color w:val="000000"/>
        </w:rPr>
      </w:pPr>
      <w:r w:rsidRPr="000D5EEE">
        <w:rPr>
          <w:rFonts w:ascii="Tahoma" w:eastAsia="Calibri" w:hAnsi="Tahoma" w:cs="Tahoma"/>
          <w:color w:val="000000"/>
        </w:rPr>
        <w:t>Por estos fundamentos, de conformidad con el informe del Vocal Ponente Dra. Janette Elke Ramírez Maynetto y la intervención de los Vocales Dra. Ada Basulto Liewald y Dr. Carlos Fonseca Oliveira, y atendiendo a la reconformación de la Primera Sala del Tribunal de Contrataciones y Adquisiciones del Estado, según lo dispuesto en la Resolución № 190-2010-OSCE/PRE, expedida el 29 de marzo de 2010,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D5EEE" w:rsidRDefault="000D5EEE" w:rsidP="00534854">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835829" w:rsidRDefault="00835829" w:rsidP="00534854">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835829" w:rsidRPr="000D5EEE" w:rsidRDefault="00835829" w:rsidP="00534854">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0D5EEE" w:rsidRPr="000D5EEE" w:rsidRDefault="000D5EEE" w:rsidP="00534854">
      <w:pPr>
        <w:jc w:val="both"/>
        <w:rPr>
          <w:rFonts w:ascii="Tahoma" w:hAnsi="Tahoma" w:cs="Tahoma"/>
          <w:b/>
          <w:shadow/>
        </w:rPr>
      </w:pPr>
      <w:r w:rsidRPr="000D5EEE">
        <w:rPr>
          <w:rFonts w:ascii="Tahoma" w:hAnsi="Tahoma" w:cs="Tahoma"/>
          <w:b/>
          <w:shadow/>
        </w:rPr>
        <w:t>LA SALA RESUELVE:</w:t>
      </w:r>
    </w:p>
    <w:p w:rsidR="000D5EEE" w:rsidRPr="000D5EEE" w:rsidRDefault="000D5EEE" w:rsidP="00534854">
      <w:pPr>
        <w:pStyle w:val="Textonotapie"/>
        <w:tabs>
          <w:tab w:val="left" w:pos="2410"/>
        </w:tabs>
        <w:jc w:val="both"/>
        <w:rPr>
          <w:rFonts w:ascii="Tahoma" w:hAnsi="Tahoma" w:cs="Tahoma"/>
          <w:b/>
          <w:bCs/>
        </w:rPr>
      </w:pPr>
    </w:p>
    <w:p w:rsidR="000D5EEE" w:rsidRPr="000D5EEE" w:rsidRDefault="000D5EEE" w:rsidP="00534854">
      <w:pPr>
        <w:numPr>
          <w:ilvl w:val="0"/>
          <w:numId w:val="12"/>
        </w:numPr>
        <w:jc w:val="both"/>
        <w:rPr>
          <w:rFonts w:ascii="Tahoma" w:hAnsi="Tahoma" w:cs="Tahoma"/>
        </w:rPr>
      </w:pPr>
      <w:r w:rsidRPr="000D5EEE">
        <w:rPr>
          <w:rFonts w:ascii="Tahoma" w:hAnsi="Tahoma" w:cs="Tahoma"/>
        </w:rPr>
        <w:t xml:space="preserve">Declarar </w:t>
      </w:r>
      <w:r w:rsidRPr="000D5EEE">
        <w:rPr>
          <w:rFonts w:ascii="Tahoma" w:hAnsi="Tahoma" w:cs="Tahoma"/>
          <w:lang w:val="es-PE"/>
        </w:rPr>
        <w:t xml:space="preserve">no ha lugar a la imposición de sanción administrativa a la </w:t>
      </w:r>
      <w:r w:rsidRPr="000D5EEE">
        <w:rPr>
          <w:rFonts w:ascii="Tahoma" w:hAnsi="Tahoma" w:cs="Tahoma"/>
        </w:rPr>
        <w:t xml:space="preserve">empresa </w:t>
      </w:r>
      <w:r w:rsidRPr="000D5EEE">
        <w:rPr>
          <w:rFonts w:ascii="Tahoma" w:hAnsi="Tahoma" w:cs="Tahoma"/>
          <w:b/>
          <w:bCs/>
        </w:rPr>
        <w:t>Organización Médica y de Servicios Santa Anita S.A.C.</w:t>
      </w:r>
      <w:r w:rsidRPr="000D5EEE">
        <w:rPr>
          <w:rFonts w:ascii="Tahoma" w:hAnsi="Tahoma" w:cs="Tahoma"/>
        </w:rPr>
        <w:t xml:space="preserve">, por supuesta responsabilidad en la presentación de documentos falsos o inexactos como parte de su propuesta técnica de la Adjudicación de Menor Cuantía Nº 260/2010-ESSALUD-RAA (AMC Nº 1006M02602), </w:t>
      </w:r>
      <w:r w:rsidRPr="000D5EEE">
        <w:rPr>
          <w:rFonts w:ascii="Tahoma" w:hAnsi="Tahoma" w:cs="Tahoma"/>
          <w:lang w:val="es-PE"/>
        </w:rPr>
        <w:t>por los fundamentos expuestos.</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12"/>
        </w:numPr>
        <w:jc w:val="both"/>
        <w:rPr>
          <w:rFonts w:ascii="Tahoma" w:hAnsi="Tahoma" w:cs="Tahoma"/>
        </w:rPr>
      </w:pPr>
      <w:r w:rsidRPr="000D5EEE">
        <w:rPr>
          <w:rFonts w:ascii="Tahoma" w:hAnsi="Tahoma" w:cs="Tahoma"/>
        </w:rPr>
        <w:t xml:space="preserve">Imponer a la empresa </w:t>
      </w:r>
      <w:r w:rsidRPr="00835829">
        <w:rPr>
          <w:rFonts w:ascii="Tahoma" w:hAnsi="Tahoma" w:cs="Tahoma"/>
          <w:b/>
        </w:rPr>
        <w:t xml:space="preserve">Tecnología y Desarrollo Perú S.A.C., </w:t>
      </w:r>
      <w:r w:rsidRPr="000D5EEE">
        <w:rPr>
          <w:rFonts w:ascii="Tahoma" w:hAnsi="Tahoma" w:cs="Tahoma"/>
        </w:rPr>
        <w:t>la sanción administrativa de inhabilitación temporal por el periodo de doce (12) meses en sus derechos de participar en procesos de selección y contratar con el Estado, por la presentación de documentos falsos durante el desarrollo de la Adjudicación de Menor Cuantía Nº 260/2010-ESSALUD-RAA (AMC Nº 1006M02602), la cual entrará en vigencia a partir del sexto día hábil siguiente de notificada la presente Resolución.</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12"/>
        </w:numPr>
        <w:jc w:val="both"/>
        <w:rPr>
          <w:rFonts w:ascii="Tahoma" w:hAnsi="Tahoma" w:cs="Tahoma"/>
        </w:rPr>
      </w:pPr>
      <w:r w:rsidRPr="000D5EEE">
        <w:rPr>
          <w:rFonts w:ascii="Tahoma" w:hAnsi="Tahoma" w:cs="Tahoma"/>
        </w:rPr>
        <w:t>Poner la presente Resolución en conocimiento de la Subdirección del Registro Nacional de Proveedores del Organismo Supervisor de las Contrataciones del Estado (OSCE), para las anotaciones de Ley.</w:t>
      </w:r>
    </w:p>
    <w:p w:rsidR="000D5EEE" w:rsidRPr="000D5EEE" w:rsidRDefault="000D5EEE" w:rsidP="00534854">
      <w:pPr>
        <w:ind w:left="720"/>
        <w:jc w:val="both"/>
        <w:rPr>
          <w:rFonts w:ascii="Tahoma" w:hAnsi="Tahoma" w:cs="Tahoma"/>
        </w:rPr>
      </w:pPr>
    </w:p>
    <w:p w:rsidR="000D5EEE" w:rsidRPr="000D5EEE" w:rsidRDefault="000D5EEE" w:rsidP="00534854">
      <w:pPr>
        <w:numPr>
          <w:ilvl w:val="0"/>
          <w:numId w:val="12"/>
        </w:numPr>
        <w:jc w:val="both"/>
        <w:rPr>
          <w:rFonts w:ascii="Tahoma" w:hAnsi="Tahoma" w:cs="Tahoma"/>
          <w:b/>
          <w:bCs/>
        </w:rPr>
      </w:pPr>
      <w:r w:rsidRPr="000D5EEE">
        <w:rPr>
          <w:rFonts w:ascii="Tahoma" w:hAnsi="Tahoma" w:cs="Tahoma"/>
        </w:rPr>
        <w:t>Poner la presente Resolución en conocimiento del Ministerio Público y la Presidencia del OSCE los hechos expuestos, para que procedan conforme a sus atribuciones.</w:t>
      </w:r>
    </w:p>
    <w:p w:rsidR="000D5EEE" w:rsidRPr="000D5EEE" w:rsidRDefault="000D5EEE" w:rsidP="00534854">
      <w:pPr>
        <w:jc w:val="both"/>
        <w:rPr>
          <w:rFonts w:ascii="Tahoma" w:hAnsi="Tahoma" w:cs="Tahoma"/>
          <w:b/>
          <w:shadow/>
        </w:rPr>
      </w:pPr>
    </w:p>
    <w:p w:rsidR="000D5EEE" w:rsidRPr="000D5EEE" w:rsidRDefault="000D5EEE" w:rsidP="00534854">
      <w:pPr>
        <w:pStyle w:val="Textoindependiente21"/>
        <w:rPr>
          <w:rFonts w:cs="Tahoma"/>
          <w:sz w:val="20"/>
        </w:rPr>
      </w:pPr>
      <w:r w:rsidRPr="000D5EEE">
        <w:rPr>
          <w:rFonts w:cs="Tahoma"/>
          <w:sz w:val="20"/>
        </w:rPr>
        <w:t>Regístrese, comuníquese y publíquese.</w:t>
      </w:r>
    </w:p>
    <w:p w:rsidR="000D5EEE" w:rsidRPr="000D5EEE" w:rsidRDefault="000D5EEE" w:rsidP="00534854">
      <w:pPr>
        <w:jc w:val="both"/>
        <w:rPr>
          <w:rFonts w:ascii="Tahoma" w:hAnsi="Tahoma" w:cs="Tahoma"/>
          <w:b/>
          <w:shadow/>
          <w:lang w:val="pt-BR"/>
        </w:rPr>
      </w:pPr>
    </w:p>
    <w:p w:rsidR="000D5EEE" w:rsidRPr="000D5EEE" w:rsidRDefault="000D5EEE" w:rsidP="00534854">
      <w:pPr>
        <w:jc w:val="both"/>
        <w:rPr>
          <w:rFonts w:ascii="Tahoma" w:hAnsi="Tahoma" w:cs="Tahoma"/>
          <w:b/>
          <w:shadow/>
          <w:lang w:val="pt-BR"/>
        </w:rPr>
      </w:pPr>
    </w:p>
    <w:p w:rsidR="000D5EEE" w:rsidRPr="000D5EEE" w:rsidRDefault="000D5EEE" w:rsidP="00534854">
      <w:pPr>
        <w:jc w:val="both"/>
        <w:rPr>
          <w:rFonts w:ascii="Tahoma" w:hAnsi="Tahoma" w:cs="Tahoma"/>
          <w:b/>
          <w:shadow/>
          <w:lang w:val="pt-BR"/>
        </w:rPr>
      </w:pPr>
    </w:p>
    <w:p w:rsidR="000D5EEE" w:rsidRPr="000D5EEE" w:rsidRDefault="000D5EEE" w:rsidP="00534854">
      <w:pPr>
        <w:jc w:val="both"/>
        <w:rPr>
          <w:rFonts w:ascii="Tahoma" w:hAnsi="Tahoma" w:cs="Tahoma"/>
          <w:b/>
          <w:shadow/>
          <w:lang w:val="pt-BR"/>
        </w:rPr>
      </w:pPr>
    </w:p>
    <w:p w:rsidR="000D5EEE" w:rsidRPr="000D5EEE" w:rsidRDefault="000D5EEE" w:rsidP="00835829">
      <w:pPr>
        <w:jc w:val="center"/>
        <w:rPr>
          <w:rFonts w:ascii="Tahoma" w:hAnsi="Tahoma" w:cs="Tahoma"/>
          <w:b/>
          <w:shadow/>
          <w:lang w:val="pt-BR"/>
        </w:rPr>
      </w:pPr>
      <w:r w:rsidRPr="000D5EEE">
        <w:rPr>
          <w:rFonts w:ascii="Tahoma" w:hAnsi="Tahoma" w:cs="Tahoma"/>
          <w:b/>
          <w:shadow/>
          <w:lang w:val="pt-BR"/>
        </w:rPr>
        <w:t>PRESIDENTA</w:t>
      </w:r>
    </w:p>
    <w:p w:rsidR="000D5EEE" w:rsidRPr="000D5EEE" w:rsidRDefault="000D5EEE" w:rsidP="00534854">
      <w:pPr>
        <w:jc w:val="both"/>
        <w:rPr>
          <w:rFonts w:ascii="Tahoma" w:hAnsi="Tahoma" w:cs="Tahoma"/>
          <w:b/>
          <w:shadow/>
          <w:lang w:val="pt-BR"/>
        </w:rPr>
      </w:pPr>
    </w:p>
    <w:p w:rsidR="000D5EEE" w:rsidRPr="000D5EEE" w:rsidRDefault="000D5EEE" w:rsidP="00534854">
      <w:pPr>
        <w:jc w:val="both"/>
        <w:rPr>
          <w:rFonts w:ascii="Tahoma" w:hAnsi="Tahoma" w:cs="Tahoma"/>
          <w:b/>
          <w:shadow/>
          <w:lang w:val="pt-BR"/>
        </w:rPr>
      </w:pPr>
    </w:p>
    <w:p w:rsidR="000D5EEE" w:rsidRPr="000D5EEE" w:rsidRDefault="000D5EEE" w:rsidP="00534854">
      <w:pPr>
        <w:jc w:val="both"/>
        <w:rPr>
          <w:rFonts w:ascii="Tahoma" w:hAnsi="Tahoma" w:cs="Tahoma"/>
          <w:b/>
          <w:shadow/>
          <w:lang w:val="pt-BR"/>
        </w:rPr>
      </w:pPr>
    </w:p>
    <w:p w:rsidR="000D5EEE" w:rsidRPr="000D5EEE" w:rsidRDefault="000D5EEE" w:rsidP="00534854">
      <w:pPr>
        <w:jc w:val="both"/>
        <w:rPr>
          <w:rFonts w:ascii="Tahoma" w:hAnsi="Tahoma" w:cs="Tahoma"/>
          <w:b/>
          <w:shadow/>
          <w:lang w:val="pt-BR"/>
        </w:rPr>
      </w:pPr>
    </w:p>
    <w:p w:rsidR="000D5EEE" w:rsidRPr="000D5EEE" w:rsidRDefault="000D5EEE" w:rsidP="00534854">
      <w:pPr>
        <w:jc w:val="both"/>
        <w:rPr>
          <w:rFonts w:ascii="Tahoma" w:hAnsi="Tahoma" w:cs="Tahoma"/>
          <w:b/>
          <w:shadow/>
          <w:lang w:val="pt-BR"/>
        </w:rPr>
      </w:pPr>
      <w:r w:rsidRPr="000D5EEE">
        <w:rPr>
          <w:rFonts w:ascii="Tahoma" w:hAnsi="Tahoma" w:cs="Tahoma"/>
          <w:b/>
          <w:shadow/>
          <w:lang w:val="pt-BR"/>
        </w:rPr>
        <w:t xml:space="preserve">                      VOCAL           </w:t>
      </w:r>
      <w:r w:rsidRPr="000D5EEE">
        <w:rPr>
          <w:rFonts w:ascii="Tahoma" w:hAnsi="Tahoma" w:cs="Tahoma"/>
          <w:b/>
          <w:shadow/>
          <w:lang w:val="pt-BR"/>
        </w:rPr>
        <w:tab/>
      </w:r>
      <w:r w:rsidRPr="000D5EEE">
        <w:rPr>
          <w:rFonts w:ascii="Tahoma" w:hAnsi="Tahoma" w:cs="Tahoma"/>
          <w:b/>
          <w:shadow/>
          <w:lang w:val="pt-BR"/>
        </w:rPr>
        <w:tab/>
        <w:t xml:space="preserve">                                                              VOCAL</w:t>
      </w:r>
    </w:p>
    <w:p w:rsidR="000D5EEE" w:rsidRPr="000D5EEE" w:rsidRDefault="000D5EEE" w:rsidP="00534854">
      <w:pPr>
        <w:ind w:firstLine="708"/>
        <w:jc w:val="both"/>
        <w:rPr>
          <w:rFonts w:ascii="Tahoma" w:hAnsi="Tahoma" w:cs="Tahoma"/>
          <w:b/>
          <w:shadow/>
          <w:lang w:val="pt-BR"/>
        </w:rPr>
      </w:pPr>
    </w:p>
    <w:p w:rsidR="000D5EEE" w:rsidRPr="000D5EEE" w:rsidRDefault="000D5EEE" w:rsidP="00534854">
      <w:pPr>
        <w:ind w:firstLine="708"/>
        <w:jc w:val="both"/>
        <w:rPr>
          <w:rFonts w:ascii="Tahoma" w:hAnsi="Tahoma" w:cs="Tahoma"/>
          <w:b/>
          <w:shadow/>
          <w:lang w:val="pt-BR"/>
        </w:rPr>
      </w:pPr>
    </w:p>
    <w:p w:rsidR="000D5EEE" w:rsidRPr="000D5EEE" w:rsidRDefault="000D5EEE" w:rsidP="00534854">
      <w:pPr>
        <w:jc w:val="both"/>
        <w:rPr>
          <w:rFonts w:ascii="Tahoma" w:hAnsi="Tahoma" w:cs="Tahoma"/>
          <w:lang w:val="pt-BR"/>
        </w:rPr>
      </w:pPr>
      <w:r w:rsidRPr="000D5EEE">
        <w:rPr>
          <w:rFonts w:ascii="Tahoma" w:hAnsi="Tahoma" w:cs="Tahoma"/>
          <w:lang w:val="pt-BR"/>
        </w:rPr>
        <w:t>ss.</w:t>
      </w:r>
    </w:p>
    <w:p w:rsidR="000D5EEE" w:rsidRPr="000D5EEE" w:rsidRDefault="000D5EEE" w:rsidP="00534854">
      <w:pPr>
        <w:pStyle w:val="Textoindependiente21"/>
        <w:rPr>
          <w:rFonts w:cs="Tahoma"/>
          <w:sz w:val="20"/>
          <w:lang w:val="en-US"/>
        </w:rPr>
      </w:pPr>
      <w:r w:rsidRPr="000D5EEE">
        <w:rPr>
          <w:rFonts w:cs="Tahoma"/>
          <w:sz w:val="20"/>
          <w:lang w:val="en-US"/>
        </w:rPr>
        <w:t>Basulto Liewald.</w:t>
      </w:r>
    </w:p>
    <w:p w:rsidR="000D5EEE" w:rsidRPr="000D5EEE" w:rsidRDefault="000D5EEE" w:rsidP="00534854">
      <w:pPr>
        <w:pStyle w:val="Textoindependiente21"/>
        <w:rPr>
          <w:rFonts w:cs="Tahoma"/>
          <w:sz w:val="20"/>
          <w:lang w:val="en-US"/>
        </w:rPr>
      </w:pPr>
      <w:r w:rsidRPr="000D5EEE">
        <w:rPr>
          <w:rFonts w:cs="Tahoma"/>
          <w:sz w:val="20"/>
          <w:lang w:val="en-US"/>
        </w:rPr>
        <w:t>Ramírez Maynetto.</w:t>
      </w:r>
    </w:p>
    <w:p w:rsidR="000D5EEE" w:rsidRPr="000D5EEE" w:rsidRDefault="000D5EEE" w:rsidP="00534854">
      <w:pPr>
        <w:pStyle w:val="Textoindependiente21"/>
        <w:rPr>
          <w:rFonts w:cs="Tahoma"/>
          <w:sz w:val="20"/>
        </w:rPr>
      </w:pPr>
      <w:r w:rsidRPr="000D5EEE">
        <w:rPr>
          <w:rFonts w:cs="Tahoma"/>
          <w:sz w:val="20"/>
        </w:rPr>
        <w:t>Fonseca Oliveira.</w:t>
      </w:r>
    </w:p>
    <w:p w:rsidR="000D5EEE" w:rsidRPr="000D5EEE" w:rsidRDefault="000D5EEE" w:rsidP="00534854">
      <w:pPr>
        <w:jc w:val="both"/>
        <w:rPr>
          <w:rFonts w:ascii="Tahoma" w:hAnsi="Tahoma" w:cs="Tahoma"/>
        </w:rPr>
      </w:pPr>
    </w:p>
    <w:p w:rsidR="000D5EEE" w:rsidRPr="000D5EEE" w:rsidRDefault="000D5EEE" w:rsidP="00534854">
      <w:pPr>
        <w:jc w:val="both"/>
        <w:rPr>
          <w:rFonts w:ascii="Tahoma" w:hAnsi="Tahoma" w:cs="Tahoma"/>
        </w:rPr>
      </w:pPr>
    </w:p>
    <w:p w:rsidR="00835829" w:rsidRPr="000D5EEE" w:rsidRDefault="00835829" w:rsidP="00534854">
      <w:pPr>
        <w:jc w:val="both"/>
        <w:rPr>
          <w:rFonts w:ascii="Tahoma" w:hAnsi="Tahoma" w:cs="Tahoma"/>
        </w:rPr>
      </w:pPr>
    </w:p>
    <w:sectPr w:rsidR="00835829" w:rsidRPr="000D5EEE" w:rsidSect="00835829">
      <w:headerReference w:type="default" r:id="rId7"/>
      <w:footerReference w:type="even" r:id="rId8"/>
      <w:footerReference w:type="default" r:id="rId9"/>
      <w:pgSz w:w="11907" w:h="16840" w:code="9"/>
      <w:pgMar w:top="2694" w:right="1559" w:bottom="1418"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4EB" w:rsidRDefault="007A24EB" w:rsidP="000D5EEE">
      <w:r>
        <w:separator/>
      </w:r>
    </w:p>
  </w:endnote>
  <w:endnote w:type="continuationSeparator" w:id="1">
    <w:p w:rsidR="007A24EB" w:rsidRDefault="007A24EB" w:rsidP="000D5E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829" w:rsidRDefault="000112EF" w:rsidP="00835829">
    <w:pPr>
      <w:pStyle w:val="Piedepgina"/>
      <w:framePr w:wrap="around" w:vAnchor="text" w:hAnchor="margin" w:xAlign="center" w:y="1"/>
      <w:rPr>
        <w:rStyle w:val="Nmerodepgina"/>
      </w:rPr>
    </w:pPr>
    <w:r>
      <w:rPr>
        <w:rStyle w:val="Nmerodepgina"/>
      </w:rPr>
      <w:fldChar w:fldCharType="begin"/>
    </w:r>
    <w:r w:rsidR="00835829">
      <w:rPr>
        <w:rStyle w:val="Nmerodepgina"/>
      </w:rPr>
      <w:instrText xml:space="preserve">PAGE  </w:instrText>
    </w:r>
    <w:r>
      <w:rPr>
        <w:rStyle w:val="Nmerodepgina"/>
      </w:rPr>
      <w:fldChar w:fldCharType="end"/>
    </w:r>
  </w:p>
  <w:p w:rsidR="00835829" w:rsidRDefault="0083582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829" w:rsidRPr="004A4E6B" w:rsidRDefault="00835829">
    <w:pPr>
      <w:pStyle w:val="Piedepgina"/>
      <w:framePr w:wrap="around" w:vAnchor="text" w:hAnchor="margin" w:xAlign="center" w:y="1"/>
      <w:rPr>
        <w:rStyle w:val="Nmerodepgina"/>
        <w:i/>
        <w:sz w:val="20"/>
      </w:rPr>
    </w:pPr>
    <w:r w:rsidRPr="004A4E6B">
      <w:rPr>
        <w:rStyle w:val="Nmerodepgina"/>
        <w:i/>
        <w:sz w:val="20"/>
      </w:rPr>
      <w:t xml:space="preserve">Página </w:t>
    </w:r>
    <w:r w:rsidR="000112EF" w:rsidRPr="004A4E6B">
      <w:rPr>
        <w:rStyle w:val="Nmerodepgina"/>
        <w:i/>
        <w:sz w:val="20"/>
      </w:rPr>
      <w:fldChar w:fldCharType="begin"/>
    </w:r>
    <w:r w:rsidRPr="004A4E6B">
      <w:rPr>
        <w:rStyle w:val="Nmerodepgina"/>
        <w:i/>
        <w:sz w:val="20"/>
      </w:rPr>
      <w:instrText xml:space="preserve"> PAGE </w:instrText>
    </w:r>
    <w:r w:rsidR="000112EF" w:rsidRPr="004A4E6B">
      <w:rPr>
        <w:rStyle w:val="Nmerodepgina"/>
        <w:i/>
        <w:sz w:val="20"/>
      </w:rPr>
      <w:fldChar w:fldCharType="separate"/>
    </w:r>
    <w:r w:rsidR="00A94545">
      <w:rPr>
        <w:rStyle w:val="Nmerodepgina"/>
        <w:i/>
        <w:noProof/>
        <w:sz w:val="20"/>
      </w:rPr>
      <w:t>1</w:t>
    </w:r>
    <w:r w:rsidR="000112EF" w:rsidRPr="004A4E6B">
      <w:rPr>
        <w:rStyle w:val="Nmerodepgina"/>
        <w:i/>
        <w:sz w:val="20"/>
      </w:rPr>
      <w:fldChar w:fldCharType="end"/>
    </w:r>
    <w:r w:rsidRPr="004A4E6B">
      <w:rPr>
        <w:rStyle w:val="Nmerodepgina"/>
        <w:i/>
        <w:sz w:val="20"/>
      </w:rPr>
      <w:t xml:space="preserve"> de </w:t>
    </w:r>
    <w:r w:rsidR="000112EF" w:rsidRPr="004A4E6B">
      <w:rPr>
        <w:rStyle w:val="Nmerodepgina"/>
        <w:i/>
        <w:sz w:val="20"/>
      </w:rPr>
      <w:fldChar w:fldCharType="begin"/>
    </w:r>
    <w:r w:rsidRPr="004A4E6B">
      <w:rPr>
        <w:rStyle w:val="Nmerodepgina"/>
        <w:i/>
        <w:sz w:val="20"/>
      </w:rPr>
      <w:instrText xml:space="preserve"> NUMPAGES </w:instrText>
    </w:r>
    <w:r w:rsidR="000112EF" w:rsidRPr="004A4E6B">
      <w:rPr>
        <w:rStyle w:val="Nmerodepgina"/>
        <w:i/>
        <w:sz w:val="20"/>
      </w:rPr>
      <w:fldChar w:fldCharType="separate"/>
    </w:r>
    <w:r w:rsidR="00A94545">
      <w:rPr>
        <w:rStyle w:val="Nmerodepgina"/>
        <w:i/>
        <w:noProof/>
        <w:sz w:val="20"/>
      </w:rPr>
      <w:t>10</w:t>
    </w:r>
    <w:r w:rsidR="000112EF" w:rsidRPr="004A4E6B">
      <w:rPr>
        <w:rStyle w:val="Nmerodepgina"/>
        <w:i/>
        <w:sz w:val="20"/>
      </w:rPr>
      <w:fldChar w:fldCharType="end"/>
    </w:r>
  </w:p>
  <w:p w:rsidR="00835829" w:rsidRDefault="0083582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4EB" w:rsidRDefault="007A24EB" w:rsidP="000D5EEE">
      <w:r>
        <w:separator/>
      </w:r>
    </w:p>
  </w:footnote>
  <w:footnote w:type="continuationSeparator" w:id="1">
    <w:p w:rsidR="007A24EB" w:rsidRDefault="007A24EB" w:rsidP="000D5EEE">
      <w:r>
        <w:continuationSeparator/>
      </w:r>
    </w:p>
  </w:footnote>
  <w:footnote w:id="2">
    <w:p w:rsidR="00835829" w:rsidRPr="0040213E" w:rsidRDefault="00835829" w:rsidP="009D6201">
      <w:pPr>
        <w:pStyle w:val="Textonotapie"/>
        <w:jc w:val="both"/>
        <w:rPr>
          <w:i/>
          <w:iCs/>
          <w:sz w:val="18"/>
          <w:szCs w:val="18"/>
          <w:lang w:eastAsia="en-US"/>
        </w:rPr>
      </w:pPr>
      <w:r w:rsidRPr="0040213E">
        <w:rPr>
          <w:rStyle w:val="Refdenotaalpie"/>
          <w:i/>
          <w:iCs/>
          <w:sz w:val="18"/>
          <w:szCs w:val="18"/>
          <w:lang w:eastAsia="en-US"/>
        </w:rPr>
        <w:footnoteRef/>
      </w:r>
      <w:r w:rsidRPr="0040213E">
        <w:rPr>
          <w:i/>
          <w:iCs/>
          <w:sz w:val="18"/>
          <w:szCs w:val="18"/>
          <w:lang w:eastAsia="en-US"/>
        </w:rPr>
        <w:t xml:space="preserve"> Aprobada por Decreto Legislativo Nº 1017.</w:t>
      </w:r>
    </w:p>
    <w:p w:rsidR="00835829" w:rsidRDefault="00835829" w:rsidP="009D6201">
      <w:pPr>
        <w:pStyle w:val="Textonotapie"/>
        <w:jc w:val="both"/>
      </w:pPr>
    </w:p>
  </w:footnote>
  <w:footnote w:id="3">
    <w:p w:rsidR="00835829" w:rsidRPr="0040213E" w:rsidRDefault="00835829" w:rsidP="009D6201">
      <w:pPr>
        <w:pStyle w:val="Textonotapie"/>
        <w:jc w:val="both"/>
        <w:rPr>
          <w:i/>
          <w:iCs/>
          <w:sz w:val="18"/>
          <w:szCs w:val="18"/>
          <w:lang w:eastAsia="en-US"/>
        </w:rPr>
      </w:pPr>
      <w:r w:rsidRPr="0040213E">
        <w:rPr>
          <w:rStyle w:val="Refdenotaalpie"/>
          <w:i/>
          <w:iCs/>
          <w:sz w:val="18"/>
          <w:szCs w:val="18"/>
          <w:lang w:eastAsia="en-US"/>
        </w:rPr>
        <w:footnoteRef/>
      </w:r>
      <w:r w:rsidRPr="0040213E">
        <w:rPr>
          <w:i/>
          <w:iCs/>
          <w:sz w:val="18"/>
          <w:szCs w:val="18"/>
          <w:lang w:eastAsia="en-US"/>
        </w:rPr>
        <w:t xml:space="preserve"> Aprobado por Decreto Supremo Nº 184-2008-EF.</w:t>
      </w:r>
    </w:p>
    <w:p w:rsidR="00835829" w:rsidRDefault="00835829" w:rsidP="009D6201">
      <w:pPr>
        <w:pStyle w:val="Textonotapie"/>
        <w:jc w:val="both"/>
      </w:pPr>
    </w:p>
  </w:footnote>
  <w:footnote w:id="4">
    <w:p w:rsidR="00835829" w:rsidRPr="0040213E" w:rsidRDefault="00835829" w:rsidP="009D6201">
      <w:pPr>
        <w:pStyle w:val="Textonotapie"/>
        <w:jc w:val="both"/>
        <w:rPr>
          <w:i/>
          <w:iCs/>
          <w:sz w:val="18"/>
          <w:szCs w:val="18"/>
          <w:lang w:eastAsia="en-US"/>
        </w:rPr>
      </w:pPr>
      <w:r w:rsidRPr="0040213E">
        <w:rPr>
          <w:rStyle w:val="Refdenotaalpie"/>
          <w:b/>
          <w:bCs/>
          <w:i/>
          <w:iCs/>
          <w:sz w:val="18"/>
          <w:szCs w:val="18"/>
          <w:lang w:eastAsia="en-US"/>
        </w:rPr>
        <w:footnoteRef/>
      </w:r>
      <w:r w:rsidRPr="0040213E">
        <w:rPr>
          <w:i/>
          <w:iCs/>
          <w:sz w:val="18"/>
          <w:szCs w:val="18"/>
          <w:lang w:eastAsia="en-US"/>
        </w:rPr>
        <w:t xml:space="preserve"> </w:t>
      </w:r>
      <w:r w:rsidRPr="0040213E">
        <w:rPr>
          <w:b/>
          <w:bCs/>
          <w:i/>
          <w:iCs/>
          <w:sz w:val="18"/>
          <w:szCs w:val="18"/>
          <w:lang w:eastAsia="en-US"/>
        </w:rPr>
        <w:t>El Principio de Presunción de Veracidad</w:t>
      </w:r>
      <w:r w:rsidRPr="0040213E">
        <w:rPr>
          <w:i/>
          <w:iCs/>
          <w:sz w:val="18"/>
          <w:szCs w:val="18"/>
          <w:lang w:eastAsia="en-US"/>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0213E">
        <w:rPr>
          <w:b/>
          <w:bCs/>
          <w:i/>
          <w:iCs/>
          <w:sz w:val="18"/>
          <w:szCs w:val="18"/>
          <w:lang w:eastAsia="en-US"/>
        </w:rPr>
        <w:t>Comentarios a la Ley del Procedimiento Administrativo General</w:t>
      </w:r>
      <w:r w:rsidRPr="0040213E">
        <w:rPr>
          <w:i/>
          <w:iCs/>
          <w:sz w:val="18"/>
          <w:szCs w:val="18"/>
          <w:lang w:eastAsia="en-US"/>
        </w:rPr>
        <w:t>. Cuarta Edición. Lima: Gaceta Jurídica, 2005; pp. 74 -75.</w:t>
      </w:r>
    </w:p>
    <w:p w:rsidR="00835829" w:rsidRDefault="00835829" w:rsidP="000D5EEE">
      <w:pPr>
        <w:pStyle w:val="Textonotapie"/>
      </w:pPr>
    </w:p>
  </w:footnote>
  <w:footnote w:id="5">
    <w:p w:rsidR="00835829" w:rsidRPr="00CD50F6" w:rsidRDefault="00835829" w:rsidP="000D5EEE">
      <w:pPr>
        <w:pStyle w:val="Textonotapie"/>
        <w:ind w:left="142" w:hanging="142"/>
        <w:rPr>
          <w:b/>
          <w:bCs/>
          <w:i/>
          <w:iCs/>
          <w:sz w:val="16"/>
          <w:szCs w:val="16"/>
          <w:lang w:val="es-ES_tradnl" w:eastAsia="en-US"/>
        </w:rPr>
      </w:pPr>
      <w:r w:rsidRPr="0040213E">
        <w:rPr>
          <w:rStyle w:val="Refdenotaalpie"/>
          <w:i/>
          <w:iCs/>
          <w:sz w:val="18"/>
          <w:szCs w:val="18"/>
          <w:lang w:eastAsia="en-US"/>
        </w:rPr>
        <w:footnoteRef/>
      </w:r>
      <w:r w:rsidRPr="0040213E">
        <w:rPr>
          <w:b/>
          <w:bCs/>
          <w:i/>
          <w:iCs/>
          <w:sz w:val="18"/>
          <w:szCs w:val="18"/>
          <w:lang w:eastAsia="en-US"/>
        </w:rPr>
        <w:t xml:space="preserve"> </w:t>
      </w:r>
      <w:r w:rsidRPr="00CD50F6">
        <w:rPr>
          <w:b/>
          <w:bCs/>
          <w:i/>
          <w:iCs/>
          <w:sz w:val="16"/>
          <w:szCs w:val="16"/>
          <w:lang w:val="es-ES_tradnl" w:eastAsia="en-US"/>
        </w:rPr>
        <w:t>Artículo 245.- Determinación gradual de la sanción.-</w:t>
      </w:r>
    </w:p>
    <w:p w:rsidR="00835829" w:rsidRPr="00CD50F6" w:rsidRDefault="00835829" w:rsidP="000D5EEE">
      <w:pPr>
        <w:pStyle w:val="Textonotapie"/>
        <w:ind w:left="142"/>
        <w:rPr>
          <w:i/>
          <w:iCs/>
          <w:sz w:val="16"/>
          <w:szCs w:val="16"/>
          <w:lang w:val="es-ES_tradnl" w:eastAsia="en-US"/>
        </w:rPr>
      </w:pPr>
      <w:r w:rsidRPr="00CD50F6">
        <w:rPr>
          <w:i/>
          <w:iCs/>
          <w:sz w:val="16"/>
          <w:szCs w:val="16"/>
          <w:lang w:val="es-ES_tradnl" w:eastAsia="en-US"/>
        </w:rPr>
        <w:t>Para graduar la sanción de inhabilitación temporal a imponerse conforme a las disposiciones del presente Título, el Tribunal considerará los siguientes criterios:</w:t>
      </w:r>
    </w:p>
    <w:p w:rsidR="00835829" w:rsidRPr="00CD50F6" w:rsidRDefault="00835829" w:rsidP="000D5EEE">
      <w:pPr>
        <w:pStyle w:val="Textonotapie"/>
        <w:numPr>
          <w:ilvl w:val="0"/>
          <w:numId w:val="3"/>
        </w:numPr>
        <w:tabs>
          <w:tab w:val="clear" w:pos="720"/>
          <w:tab w:val="num" w:pos="284"/>
        </w:tabs>
        <w:ind w:left="284" w:firstLine="0"/>
        <w:jc w:val="both"/>
        <w:rPr>
          <w:i/>
          <w:iCs/>
          <w:sz w:val="16"/>
          <w:szCs w:val="16"/>
          <w:lang w:val="es-ES_tradnl" w:eastAsia="en-US"/>
        </w:rPr>
      </w:pPr>
      <w:r w:rsidRPr="00CD50F6">
        <w:rPr>
          <w:i/>
          <w:iCs/>
          <w:sz w:val="16"/>
          <w:szCs w:val="16"/>
          <w:lang w:val="es-ES_tradnl" w:eastAsia="en-US"/>
        </w:rPr>
        <w:t>Naturaleza de la infracción.</w:t>
      </w:r>
    </w:p>
    <w:p w:rsidR="00835829" w:rsidRPr="00CD50F6" w:rsidRDefault="00835829" w:rsidP="000D5EEE">
      <w:pPr>
        <w:pStyle w:val="Textonotapie"/>
        <w:numPr>
          <w:ilvl w:val="0"/>
          <w:numId w:val="3"/>
        </w:numPr>
        <w:tabs>
          <w:tab w:val="clear" w:pos="720"/>
          <w:tab w:val="num" w:pos="284"/>
        </w:tabs>
        <w:ind w:left="284" w:firstLine="0"/>
        <w:jc w:val="both"/>
        <w:rPr>
          <w:i/>
          <w:iCs/>
          <w:sz w:val="16"/>
          <w:szCs w:val="16"/>
          <w:lang w:val="es-ES_tradnl" w:eastAsia="en-US"/>
        </w:rPr>
      </w:pPr>
      <w:r w:rsidRPr="00CD50F6">
        <w:rPr>
          <w:i/>
          <w:iCs/>
          <w:sz w:val="16"/>
          <w:szCs w:val="16"/>
          <w:lang w:val="es-ES_tradnl" w:eastAsia="en-US"/>
        </w:rPr>
        <w:t>Intencionalidad del infractor.</w:t>
      </w:r>
    </w:p>
    <w:p w:rsidR="00835829" w:rsidRPr="00CD50F6" w:rsidRDefault="00835829" w:rsidP="000D5EEE">
      <w:pPr>
        <w:pStyle w:val="Textonotapie"/>
        <w:numPr>
          <w:ilvl w:val="0"/>
          <w:numId w:val="3"/>
        </w:numPr>
        <w:tabs>
          <w:tab w:val="clear" w:pos="720"/>
          <w:tab w:val="num" w:pos="284"/>
        </w:tabs>
        <w:ind w:left="284" w:firstLine="0"/>
        <w:jc w:val="both"/>
        <w:rPr>
          <w:i/>
          <w:iCs/>
          <w:sz w:val="16"/>
          <w:szCs w:val="16"/>
          <w:lang w:val="es-ES_tradnl" w:eastAsia="en-US"/>
        </w:rPr>
      </w:pPr>
      <w:r w:rsidRPr="00CD50F6">
        <w:rPr>
          <w:i/>
          <w:iCs/>
          <w:sz w:val="16"/>
          <w:szCs w:val="16"/>
          <w:lang w:val="es-ES_tradnl" w:eastAsia="en-US"/>
        </w:rPr>
        <w:t>Daño causado.</w:t>
      </w:r>
    </w:p>
    <w:p w:rsidR="00835829" w:rsidRPr="00CD50F6" w:rsidRDefault="00835829" w:rsidP="000D5EEE">
      <w:pPr>
        <w:pStyle w:val="Textonotapie"/>
        <w:numPr>
          <w:ilvl w:val="0"/>
          <w:numId w:val="3"/>
        </w:numPr>
        <w:tabs>
          <w:tab w:val="clear" w:pos="720"/>
          <w:tab w:val="num" w:pos="284"/>
        </w:tabs>
        <w:ind w:left="284" w:firstLine="0"/>
        <w:jc w:val="both"/>
        <w:rPr>
          <w:i/>
          <w:iCs/>
          <w:sz w:val="16"/>
          <w:szCs w:val="16"/>
          <w:lang w:val="es-ES_tradnl" w:eastAsia="en-US"/>
        </w:rPr>
      </w:pPr>
      <w:r w:rsidRPr="00CD50F6">
        <w:rPr>
          <w:i/>
          <w:iCs/>
          <w:sz w:val="16"/>
          <w:szCs w:val="16"/>
          <w:lang w:val="es-ES_tradnl" w:eastAsia="en-US"/>
        </w:rPr>
        <w:t>Reiterancia.</w:t>
      </w:r>
    </w:p>
    <w:p w:rsidR="00835829" w:rsidRPr="00CD50F6" w:rsidRDefault="00835829" w:rsidP="000D5EEE">
      <w:pPr>
        <w:pStyle w:val="Textonotapie"/>
        <w:numPr>
          <w:ilvl w:val="0"/>
          <w:numId w:val="3"/>
        </w:numPr>
        <w:tabs>
          <w:tab w:val="clear" w:pos="720"/>
          <w:tab w:val="num" w:pos="284"/>
        </w:tabs>
        <w:ind w:left="284" w:firstLine="0"/>
        <w:jc w:val="both"/>
        <w:rPr>
          <w:i/>
          <w:iCs/>
          <w:sz w:val="16"/>
          <w:szCs w:val="16"/>
          <w:lang w:val="es-ES_tradnl" w:eastAsia="en-US"/>
        </w:rPr>
      </w:pPr>
      <w:r w:rsidRPr="00CD50F6">
        <w:rPr>
          <w:i/>
          <w:iCs/>
          <w:sz w:val="16"/>
          <w:szCs w:val="16"/>
          <w:lang w:val="es-ES_tradnl" w:eastAsia="en-US"/>
        </w:rPr>
        <w:t>El reconocimiento de la infracción cometida antes de que sea detectada.</w:t>
      </w:r>
    </w:p>
    <w:p w:rsidR="00835829" w:rsidRPr="00CD50F6" w:rsidRDefault="00835829" w:rsidP="000D5EEE">
      <w:pPr>
        <w:pStyle w:val="Textonotapie"/>
        <w:numPr>
          <w:ilvl w:val="0"/>
          <w:numId w:val="3"/>
        </w:numPr>
        <w:tabs>
          <w:tab w:val="clear" w:pos="720"/>
          <w:tab w:val="num" w:pos="284"/>
        </w:tabs>
        <w:ind w:left="284" w:firstLine="0"/>
        <w:jc w:val="both"/>
        <w:rPr>
          <w:i/>
          <w:iCs/>
          <w:sz w:val="16"/>
          <w:szCs w:val="16"/>
          <w:lang w:val="es-ES_tradnl" w:eastAsia="en-US"/>
        </w:rPr>
      </w:pPr>
      <w:r w:rsidRPr="00CD50F6">
        <w:rPr>
          <w:i/>
          <w:iCs/>
          <w:sz w:val="16"/>
          <w:szCs w:val="16"/>
          <w:lang w:val="es-ES_tradnl" w:eastAsia="en-US"/>
        </w:rPr>
        <w:t>Circunstancias de tiempo, lugar y modo.</w:t>
      </w:r>
    </w:p>
    <w:p w:rsidR="00835829" w:rsidRPr="00CD50F6" w:rsidRDefault="00835829" w:rsidP="000D5EEE">
      <w:pPr>
        <w:pStyle w:val="Textonotapie"/>
        <w:numPr>
          <w:ilvl w:val="0"/>
          <w:numId w:val="3"/>
        </w:numPr>
        <w:tabs>
          <w:tab w:val="clear" w:pos="720"/>
          <w:tab w:val="num" w:pos="284"/>
        </w:tabs>
        <w:ind w:left="284" w:firstLine="0"/>
        <w:jc w:val="both"/>
        <w:rPr>
          <w:i/>
          <w:iCs/>
          <w:sz w:val="16"/>
          <w:szCs w:val="16"/>
          <w:lang w:val="es-ES_tradnl" w:eastAsia="en-US"/>
        </w:rPr>
      </w:pPr>
      <w:r w:rsidRPr="00CD50F6">
        <w:rPr>
          <w:i/>
          <w:iCs/>
          <w:sz w:val="16"/>
          <w:szCs w:val="16"/>
          <w:lang w:val="es-ES_tradnl" w:eastAsia="en-US"/>
        </w:rPr>
        <w:t>Condiciones del infractor.</w:t>
      </w:r>
    </w:p>
    <w:p w:rsidR="00835829" w:rsidRDefault="00835829" w:rsidP="000D5EEE">
      <w:pPr>
        <w:pStyle w:val="Textonotapie"/>
        <w:numPr>
          <w:ilvl w:val="0"/>
          <w:numId w:val="3"/>
        </w:numPr>
        <w:tabs>
          <w:tab w:val="clear" w:pos="720"/>
          <w:tab w:val="num" w:pos="284"/>
        </w:tabs>
        <w:ind w:left="284" w:firstLine="0"/>
        <w:jc w:val="both"/>
      </w:pPr>
      <w:r w:rsidRPr="00CD50F6">
        <w:rPr>
          <w:i/>
          <w:iCs/>
          <w:sz w:val="16"/>
          <w:szCs w:val="16"/>
          <w:lang w:val="es-ES_tradnl" w:eastAsia="en-US"/>
        </w:rPr>
        <w:t xml:space="preserve">Conducta procesal del infractor. </w:t>
      </w:r>
    </w:p>
  </w:footnote>
  <w:footnote w:id="6">
    <w:p w:rsidR="00835829" w:rsidRPr="00F42138" w:rsidRDefault="00835829" w:rsidP="009D6201">
      <w:pPr>
        <w:pStyle w:val="Textonotapie"/>
        <w:jc w:val="both"/>
        <w:rPr>
          <w:b/>
          <w:bCs/>
          <w:i/>
          <w:iCs/>
          <w:sz w:val="16"/>
          <w:szCs w:val="16"/>
          <w:lang w:eastAsia="en-US"/>
        </w:rPr>
      </w:pPr>
      <w:r w:rsidRPr="0040213E">
        <w:rPr>
          <w:rStyle w:val="Refdenotaalpie"/>
          <w:i/>
          <w:iCs/>
          <w:sz w:val="18"/>
          <w:szCs w:val="18"/>
          <w:lang w:eastAsia="en-US"/>
        </w:rPr>
        <w:footnoteRef/>
      </w:r>
      <w:r w:rsidRPr="0040213E">
        <w:rPr>
          <w:i/>
          <w:iCs/>
          <w:sz w:val="18"/>
          <w:szCs w:val="18"/>
          <w:lang w:eastAsia="en-US"/>
        </w:rPr>
        <w:t xml:space="preserve"> </w:t>
      </w:r>
      <w:r w:rsidRPr="00F42138">
        <w:rPr>
          <w:b/>
          <w:bCs/>
          <w:i/>
          <w:iCs/>
          <w:sz w:val="16"/>
          <w:szCs w:val="16"/>
          <w:lang w:eastAsia="en-US"/>
        </w:rPr>
        <w:t>Artículo 427.- Falsificación de documentos</w:t>
      </w:r>
    </w:p>
    <w:p w:rsidR="00835829" w:rsidRDefault="00835829" w:rsidP="009D6201">
      <w:pPr>
        <w:pStyle w:val="Textonotapie"/>
        <w:jc w:val="both"/>
      </w:pPr>
      <w:r w:rsidRPr="00F42138">
        <w:rPr>
          <w:i/>
          <w:iCs/>
          <w:sz w:val="16"/>
          <w:szCs w:val="16"/>
          <w:lang w:eastAsia="en-US"/>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7">
    <w:p w:rsidR="00835829" w:rsidRPr="00F42138" w:rsidRDefault="00835829" w:rsidP="009D6201">
      <w:pPr>
        <w:pStyle w:val="Textonotapie"/>
        <w:jc w:val="both"/>
        <w:rPr>
          <w:i/>
          <w:iCs/>
          <w:sz w:val="16"/>
          <w:szCs w:val="16"/>
          <w:lang w:eastAsia="en-US"/>
        </w:rPr>
      </w:pPr>
      <w:r w:rsidRPr="00F42138">
        <w:rPr>
          <w:rStyle w:val="Refdenotaalpie"/>
          <w:i/>
          <w:iCs/>
          <w:sz w:val="16"/>
          <w:szCs w:val="16"/>
          <w:lang w:eastAsia="en-US"/>
        </w:rPr>
        <w:footnoteRef/>
      </w:r>
      <w:r w:rsidRPr="00F42138">
        <w:rPr>
          <w:i/>
          <w:iCs/>
          <w:sz w:val="16"/>
          <w:szCs w:val="16"/>
          <w:lang w:eastAsia="en-US"/>
        </w:rPr>
        <w:t xml:space="preserve"> </w:t>
      </w:r>
      <w:r w:rsidRPr="00F42138">
        <w:rPr>
          <w:b/>
          <w:bCs/>
          <w:i/>
          <w:iCs/>
          <w:sz w:val="16"/>
          <w:szCs w:val="16"/>
          <w:lang w:eastAsia="en-US"/>
        </w:rPr>
        <w:t>Artículo 438.- Falsedad genérica</w:t>
      </w:r>
      <w:r w:rsidRPr="00F42138">
        <w:rPr>
          <w:i/>
          <w:iCs/>
          <w:sz w:val="16"/>
          <w:szCs w:val="16"/>
          <w:lang w:eastAsia="en-US"/>
        </w:rPr>
        <w:t xml:space="preserve"> </w:t>
      </w:r>
    </w:p>
    <w:p w:rsidR="00835829" w:rsidRDefault="00835829" w:rsidP="009D6201">
      <w:pPr>
        <w:pStyle w:val="Textonotapie"/>
        <w:jc w:val="both"/>
      </w:pPr>
      <w:r w:rsidRPr="00F42138">
        <w:rPr>
          <w:i/>
          <w:iCs/>
          <w:sz w:val="16"/>
          <w:szCs w:val="16"/>
          <w:lang w:eastAsia="en-US"/>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545" w:rsidRDefault="00A94545" w:rsidP="00A9454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94545" w:rsidRDefault="00A94545" w:rsidP="00A94545">
    <w:pPr>
      <w:pStyle w:val="Encabezado"/>
      <w:rPr>
        <w:noProof/>
      </w:rPr>
    </w:pPr>
  </w:p>
  <w:p w:rsidR="00A94545" w:rsidRDefault="00A94545" w:rsidP="00A94545">
    <w:pPr>
      <w:pStyle w:val="Encabezado"/>
      <w:rPr>
        <w:noProof/>
      </w:rPr>
    </w:pPr>
  </w:p>
  <w:p w:rsidR="00A94545" w:rsidRDefault="00A94545" w:rsidP="00A94545">
    <w:pPr>
      <w:pStyle w:val="Encabezado"/>
      <w:rPr>
        <w:noProof/>
      </w:rPr>
    </w:pPr>
  </w:p>
  <w:p w:rsidR="00A94545" w:rsidRDefault="00A94545" w:rsidP="00A94545">
    <w:pPr>
      <w:pStyle w:val="Encabezado"/>
      <w:jc w:val="center"/>
    </w:pPr>
    <w:r>
      <w:rPr>
        <w:rFonts w:ascii="Monotype Corsiva" w:hAnsi="Monotype Corsiva"/>
        <w:b/>
        <w:sz w:val="44"/>
        <w:szCs w:val="44"/>
      </w:rPr>
      <w:t xml:space="preserve">Resolución Nº   </w:t>
    </w:r>
    <w:r>
      <w:rPr>
        <w:rFonts w:ascii="Tahoma" w:hAnsi="Tahoma" w:cs="Tahoma"/>
        <w:b/>
        <w:sz w:val="44"/>
        <w:szCs w:val="44"/>
      </w:rPr>
      <w:t>258-2011-TC-S1</w:t>
    </w:r>
  </w:p>
  <w:p w:rsidR="00A94545" w:rsidRDefault="00A9454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38627852"/>
    <w:lvl w:ilvl="0" w:tplc="593EFBF6">
      <w:start w:val="1"/>
      <w:numFmt w:val="decimal"/>
      <w:lvlText w:val="%1."/>
      <w:lvlJc w:val="left"/>
      <w:pPr>
        <w:tabs>
          <w:tab w:val="num" w:pos="720"/>
        </w:tabs>
        <w:ind w:left="720" w:hanging="360"/>
      </w:pPr>
      <w:rPr>
        <w:rFonts w:hint="default"/>
        <w:b/>
        <w:bCs/>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nsid w:val="19087D5E"/>
    <w:multiLevelType w:val="hybridMultilevel"/>
    <w:tmpl w:val="8BE68676"/>
    <w:lvl w:ilvl="0" w:tplc="BA58379A">
      <w:start w:val="1"/>
      <w:numFmt w:val="decimal"/>
      <w:lvlText w:val="%1."/>
      <w:lvlJc w:val="left"/>
      <w:pPr>
        <w:tabs>
          <w:tab w:val="num" w:pos="720"/>
        </w:tabs>
        <w:ind w:left="720" w:hanging="360"/>
      </w:pPr>
      <w:rPr>
        <w:b/>
        <w:bCs/>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6F66650"/>
    <w:multiLevelType w:val="hybridMultilevel"/>
    <w:tmpl w:val="3B08EE5C"/>
    <w:lvl w:ilvl="0" w:tplc="9BBE7496">
      <w:start w:val="1"/>
      <w:numFmt w:val="lowerRoman"/>
      <w:lvlText w:val="%1)"/>
      <w:lvlJc w:val="left"/>
      <w:pPr>
        <w:tabs>
          <w:tab w:val="num" w:pos="1428"/>
        </w:tabs>
        <w:ind w:left="1428" w:hanging="72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2CFC0E20"/>
    <w:multiLevelType w:val="hybridMultilevel"/>
    <w:tmpl w:val="347619D2"/>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5">
    <w:nsid w:val="2E970C2A"/>
    <w:multiLevelType w:val="hybridMultilevel"/>
    <w:tmpl w:val="3724E4FE"/>
    <w:lvl w:ilvl="0" w:tplc="420E700E">
      <w:start w:val="1"/>
      <w:numFmt w:val="lowerRoman"/>
      <w:lvlText w:val="%1)"/>
      <w:lvlJc w:val="left"/>
      <w:pPr>
        <w:tabs>
          <w:tab w:val="num" w:pos="1428"/>
        </w:tabs>
        <w:ind w:left="1428" w:hanging="720"/>
      </w:pPr>
      <w:rPr>
        <w:rFonts w:hint="default"/>
      </w:rPr>
    </w:lvl>
    <w:lvl w:ilvl="1" w:tplc="0C0A0019">
      <w:start w:val="1"/>
      <w:numFmt w:val="lowerLetter"/>
      <w:lvlText w:val="%2."/>
      <w:lvlJc w:val="left"/>
      <w:pPr>
        <w:tabs>
          <w:tab w:val="num" w:pos="1788"/>
        </w:tabs>
        <w:ind w:left="1788" w:hanging="360"/>
      </w:pPr>
    </w:lvl>
    <w:lvl w:ilvl="2" w:tplc="0C0A001B">
      <w:start w:val="1"/>
      <w:numFmt w:val="lowerRoman"/>
      <w:lvlText w:val="%3."/>
      <w:lvlJc w:val="right"/>
      <w:pPr>
        <w:tabs>
          <w:tab w:val="num" w:pos="2508"/>
        </w:tabs>
        <w:ind w:left="2508" w:hanging="180"/>
      </w:pPr>
    </w:lvl>
    <w:lvl w:ilvl="3" w:tplc="0C0A000F">
      <w:start w:val="1"/>
      <w:numFmt w:val="decimal"/>
      <w:lvlText w:val="%4."/>
      <w:lvlJc w:val="left"/>
      <w:pPr>
        <w:tabs>
          <w:tab w:val="num" w:pos="3228"/>
        </w:tabs>
        <w:ind w:left="3228" w:hanging="360"/>
      </w:pPr>
    </w:lvl>
    <w:lvl w:ilvl="4" w:tplc="0C0A0019">
      <w:start w:val="1"/>
      <w:numFmt w:val="lowerLetter"/>
      <w:lvlText w:val="%5."/>
      <w:lvlJc w:val="left"/>
      <w:pPr>
        <w:tabs>
          <w:tab w:val="num" w:pos="3948"/>
        </w:tabs>
        <w:ind w:left="3948" w:hanging="360"/>
      </w:pPr>
    </w:lvl>
    <w:lvl w:ilvl="5" w:tplc="0C0A001B">
      <w:start w:val="1"/>
      <w:numFmt w:val="lowerRoman"/>
      <w:lvlText w:val="%6."/>
      <w:lvlJc w:val="right"/>
      <w:pPr>
        <w:tabs>
          <w:tab w:val="num" w:pos="4668"/>
        </w:tabs>
        <w:ind w:left="4668" w:hanging="180"/>
      </w:pPr>
    </w:lvl>
    <w:lvl w:ilvl="6" w:tplc="0C0A000F">
      <w:start w:val="1"/>
      <w:numFmt w:val="decimal"/>
      <w:lvlText w:val="%7."/>
      <w:lvlJc w:val="left"/>
      <w:pPr>
        <w:tabs>
          <w:tab w:val="num" w:pos="5388"/>
        </w:tabs>
        <w:ind w:left="5388" w:hanging="360"/>
      </w:pPr>
    </w:lvl>
    <w:lvl w:ilvl="7" w:tplc="0C0A0019">
      <w:start w:val="1"/>
      <w:numFmt w:val="lowerLetter"/>
      <w:lvlText w:val="%8."/>
      <w:lvlJc w:val="left"/>
      <w:pPr>
        <w:tabs>
          <w:tab w:val="num" w:pos="6108"/>
        </w:tabs>
        <w:ind w:left="6108" w:hanging="360"/>
      </w:pPr>
    </w:lvl>
    <w:lvl w:ilvl="8" w:tplc="0C0A001B">
      <w:start w:val="1"/>
      <w:numFmt w:val="lowerRoman"/>
      <w:lvlText w:val="%9."/>
      <w:lvlJc w:val="right"/>
      <w:pPr>
        <w:tabs>
          <w:tab w:val="num" w:pos="6828"/>
        </w:tabs>
        <w:ind w:left="6828" w:hanging="180"/>
      </w:pPr>
    </w:lvl>
  </w:abstractNum>
  <w:abstractNum w:abstractNumId="6">
    <w:nsid w:val="2EF0734A"/>
    <w:multiLevelType w:val="hybridMultilevel"/>
    <w:tmpl w:val="972CF9BA"/>
    <w:lvl w:ilvl="0" w:tplc="117ABD30">
      <w:start w:val="1"/>
      <w:numFmt w:val="upperRoman"/>
      <w:lvlText w:val="%1."/>
      <w:lvlJc w:val="right"/>
      <w:pPr>
        <w:ind w:left="1440" w:hanging="360"/>
      </w:pPr>
      <w:rPr>
        <w:sz w:val="20"/>
        <w:szCs w:val="20"/>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7">
    <w:nsid w:val="51B8397D"/>
    <w:multiLevelType w:val="hybridMultilevel"/>
    <w:tmpl w:val="F982B062"/>
    <w:lvl w:ilvl="0" w:tplc="6FB00CFE">
      <w:start w:val="1"/>
      <w:numFmt w:val="lowerRoman"/>
      <w:lvlText w:val="%1)"/>
      <w:lvlJc w:val="left"/>
      <w:pPr>
        <w:tabs>
          <w:tab w:val="num" w:pos="1080"/>
        </w:tabs>
        <w:ind w:left="1080" w:hanging="720"/>
      </w:pPr>
    </w:lvl>
    <w:lvl w:ilvl="1" w:tplc="534C01EA">
      <w:start w:val="1"/>
      <w:numFmt w:val="decimal"/>
      <w:lvlText w:val="%2."/>
      <w:lvlJc w:val="left"/>
      <w:pPr>
        <w:tabs>
          <w:tab w:val="num" w:pos="644"/>
        </w:tabs>
        <w:ind w:left="644" w:hanging="360"/>
      </w:pPr>
      <w:rPr>
        <w:b/>
        <w:bCs/>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58EA581A"/>
    <w:multiLevelType w:val="hybridMultilevel"/>
    <w:tmpl w:val="60B2E28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1">
    <w:nsid w:val="6FC5190B"/>
    <w:multiLevelType w:val="hybridMultilevel"/>
    <w:tmpl w:val="79FC44BE"/>
    <w:lvl w:ilvl="0" w:tplc="937451A4">
      <w:start w:val="1"/>
      <w:numFmt w:val="bullet"/>
      <w:lvlText w:val="−"/>
      <w:lvlJc w:val="left"/>
      <w:pPr>
        <w:tabs>
          <w:tab w:val="num" w:pos="1965"/>
        </w:tabs>
        <w:ind w:left="1965" w:hanging="360"/>
      </w:pPr>
      <w:rPr>
        <w:rFonts w:ascii="Times New Roman" w:eastAsia="Times New Roman" w:hAnsi="Times New Roman" w:hint="default"/>
      </w:rPr>
    </w:lvl>
    <w:lvl w:ilvl="1" w:tplc="0C0A0019">
      <w:start w:val="3"/>
      <w:numFmt w:val="upperRoman"/>
      <w:lvlText w:val="%2."/>
      <w:lvlJc w:val="left"/>
      <w:pPr>
        <w:tabs>
          <w:tab w:val="num" w:pos="1800"/>
        </w:tabs>
        <w:ind w:left="1800" w:hanging="720"/>
      </w:pPr>
      <w:rPr>
        <w:rFonts w:hint="default"/>
        <w:b w:val="0"/>
        <w:bCs w:val="0"/>
      </w:rPr>
    </w:lvl>
    <w:lvl w:ilvl="2" w:tplc="0C0A001B">
      <w:start w:val="1"/>
      <w:numFmt w:val="decimal"/>
      <w:lvlText w:val="3.%3"/>
      <w:lvlJc w:val="left"/>
      <w:pPr>
        <w:tabs>
          <w:tab w:val="num" w:pos="2160"/>
        </w:tabs>
        <w:ind w:left="2160" w:hanging="360"/>
      </w:pPr>
      <w:rPr>
        <w:rFonts w:hint="default"/>
      </w:rPr>
    </w:lvl>
    <w:lvl w:ilvl="3" w:tplc="0C0A000F">
      <w:start w:val="1"/>
      <w:numFmt w:val="lowerLetter"/>
      <w:lvlText w:val="%4)"/>
      <w:lvlJc w:val="left"/>
      <w:pPr>
        <w:tabs>
          <w:tab w:val="num" w:pos="2880"/>
        </w:tabs>
        <w:ind w:left="2880" w:hanging="360"/>
      </w:pPr>
      <w:rPr>
        <w:rFonts w:hint="default"/>
      </w:rPr>
    </w:lvl>
    <w:lvl w:ilvl="4" w:tplc="0C0A0019">
      <w:start w:val="1"/>
      <w:numFmt w:val="decimal"/>
      <w:lvlText w:val="%5"/>
      <w:lvlJc w:val="left"/>
      <w:pPr>
        <w:ind w:left="3600" w:hanging="360"/>
      </w:pPr>
      <w:rPr>
        <w:rFonts w:hint="default"/>
      </w:rPr>
    </w:lvl>
    <w:lvl w:ilvl="5" w:tplc="0C0A001B">
      <w:start w:val="1"/>
      <w:numFmt w:val="decimal"/>
      <w:lvlText w:val="%6."/>
      <w:lvlJc w:val="left"/>
      <w:pPr>
        <w:ind w:left="4320" w:hanging="360"/>
      </w:pPr>
      <w:rPr>
        <w:rFonts w:hint="default"/>
      </w:rPr>
    </w:lvl>
    <w:lvl w:ilvl="6" w:tplc="0C0A000F">
      <w:start w:val="1"/>
      <w:numFmt w:val="bullet"/>
      <w:lvlText w:val=""/>
      <w:lvlJc w:val="left"/>
      <w:pPr>
        <w:tabs>
          <w:tab w:val="num" w:pos="5040"/>
        </w:tabs>
        <w:ind w:left="5040" w:hanging="360"/>
      </w:pPr>
      <w:rPr>
        <w:rFonts w:ascii="Symbol" w:hAnsi="Symbol" w:cs="Symbol" w:hint="default"/>
      </w:rPr>
    </w:lvl>
    <w:lvl w:ilvl="7" w:tplc="0C0A0019">
      <w:start w:val="1"/>
      <w:numFmt w:val="bullet"/>
      <w:lvlText w:val="o"/>
      <w:lvlJc w:val="left"/>
      <w:pPr>
        <w:tabs>
          <w:tab w:val="num" w:pos="5760"/>
        </w:tabs>
        <w:ind w:left="5760" w:hanging="360"/>
      </w:pPr>
      <w:rPr>
        <w:rFonts w:ascii="Courier New" w:hAnsi="Courier New" w:cs="Courier New" w:hint="default"/>
      </w:rPr>
    </w:lvl>
    <w:lvl w:ilvl="8" w:tplc="0C0A001B">
      <w:start w:val="1"/>
      <w:numFmt w:val="bullet"/>
      <w:lvlText w:val=""/>
      <w:lvlJc w:val="left"/>
      <w:pPr>
        <w:tabs>
          <w:tab w:val="num" w:pos="6480"/>
        </w:tabs>
        <w:ind w:left="6480" w:hanging="360"/>
      </w:pPr>
      <w:rPr>
        <w:rFonts w:ascii="Wingdings" w:hAnsi="Wingdings" w:cs="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0D5EEE"/>
    <w:rsid w:val="000112EF"/>
    <w:rsid w:val="000D5EEE"/>
    <w:rsid w:val="00500060"/>
    <w:rsid w:val="00534854"/>
    <w:rsid w:val="0066645E"/>
    <w:rsid w:val="007A24EB"/>
    <w:rsid w:val="00835829"/>
    <w:rsid w:val="0096071E"/>
    <w:rsid w:val="009D6201"/>
    <w:rsid w:val="00A94545"/>
    <w:rsid w:val="00DC452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EEE"/>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0D5EEE"/>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0D5EEE"/>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0D5EEE"/>
  </w:style>
  <w:style w:type="paragraph" w:styleId="Textoindependiente">
    <w:name w:val="Body Text"/>
    <w:basedOn w:val="Normal"/>
    <w:link w:val="TextoindependienteCar"/>
    <w:rsid w:val="000D5EEE"/>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0D5EEE"/>
    <w:rPr>
      <w:rFonts w:ascii="Tahoma" w:eastAsia="Times New Roman" w:hAnsi="Tahoma" w:cs="Times New Roman"/>
      <w:szCs w:val="20"/>
      <w:lang w:val="es-ES_tradnl" w:eastAsia="es-ES"/>
    </w:rPr>
  </w:style>
  <w:style w:type="paragraph" w:customStyle="1" w:styleId="Textoindependiente21">
    <w:name w:val="Texto independiente 21"/>
    <w:basedOn w:val="Normal"/>
    <w:rsid w:val="000D5EEE"/>
    <w:pPr>
      <w:jc w:val="both"/>
    </w:pPr>
    <w:rPr>
      <w:rFonts w:ascii="Tahoma" w:hAnsi="Tahoma"/>
      <w:sz w:val="22"/>
    </w:rPr>
  </w:style>
  <w:style w:type="paragraph" w:styleId="Textoindependiente3">
    <w:name w:val="Body Text 3"/>
    <w:basedOn w:val="Normal"/>
    <w:link w:val="Textoindependiente3Car"/>
    <w:rsid w:val="000D5EEE"/>
    <w:pPr>
      <w:spacing w:after="120"/>
    </w:pPr>
    <w:rPr>
      <w:sz w:val="16"/>
      <w:szCs w:val="16"/>
      <w:lang w:val="es-PE"/>
    </w:rPr>
  </w:style>
  <w:style w:type="character" w:customStyle="1" w:styleId="Textoindependiente3Car">
    <w:name w:val="Texto independiente 3 Car"/>
    <w:basedOn w:val="Fuentedeprrafopredeter"/>
    <w:link w:val="Textoindependiente3"/>
    <w:rsid w:val="000D5EEE"/>
    <w:rPr>
      <w:rFonts w:ascii="Times New Roman" w:eastAsia="Times New Roman" w:hAnsi="Times New Roman" w:cs="Times New Roman"/>
      <w:sz w:val="16"/>
      <w:szCs w:val="16"/>
      <w:lang w:val="es-PE" w:eastAsia="es-ES"/>
    </w:rPr>
  </w:style>
  <w:style w:type="paragraph" w:styleId="Textonotapie">
    <w:name w:val="footnote text"/>
    <w:aliases w:val="Car,Car Car,Texto nota pie1,Car4,Texto independiente1,Texto independiente2,Car2 Car Car Car Car Car,Car2 Car,Car2,Car1 Car"/>
    <w:basedOn w:val="Normal"/>
    <w:link w:val="TextonotapieCar"/>
    <w:uiPriority w:val="99"/>
    <w:semiHidden/>
    <w:rsid w:val="000D5EEE"/>
  </w:style>
  <w:style w:type="character" w:customStyle="1" w:styleId="TextonotapieCar">
    <w:name w:val="Texto nota pie Car"/>
    <w:aliases w:val="Car Car1,Car Car Car,Texto nota pie1 Car,Car4 Car,Texto independiente1 Car,Texto independiente2 Car,Car2 Car Car Car Car Car Car,Car2 Car Car,Car2 Car1,Car1 Car Car"/>
    <w:basedOn w:val="Fuentedeprrafopredeter"/>
    <w:link w:val="Textonotapie"/>
    <w:uiPriority w:val="99"/>
    <w:semiHidden/>
    <w:rsid w:val="000D5EEE"/>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0D5EEE"/>
    <w:rPr>
      <w:vertAlign w:val="superscript"/>
    </w:rPr>
  </w:style>
  <w:style w:type="paragraph" w:styleId="Prrafodelista">
    <w:name w:val="List Paragraph"/>
    <w:basedOn w:val="Normal"/>
    <w:uiPriority w:val="99"/>
    <w:qFormat/>
    <w:rsid w:val="000D5EEE"/>
    <w:pPr>
      <w:widowControl w:val="0"/>
      <w:suppressAutoHyphens/>
      <w:ind w:left="708"/>
    </w:pPr>
    <w:rPr>
      <w:rFonts w:ascii="Tahoma" w:hAnsi="Tahoma" w:cs="Tahoma"/>
      <w:sz w:val="24"/>
      <w:szCs w:val="24"/>
      <w:lang w:val="es-ES_tradnl"/>
    </w:rPr>
  </w:style>
  <w:style w:type="paragraph" w:styleId="Encabezado">
    <w:name w:val="header"/>
    <w:aliases w:val="maria,h"/>
    <w:basedOn w:val="Normal"/>
    <w:link w:val="EncabezadoCar"/>
    <w:uiPriority w:val="99"/>
    <w:semiHidden/>
    <w:unhideWhenUsed/>
    <w:rsid w:val="00A9454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A94545"/>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720515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4431</Words>
  <Characters>24372</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5</cp:revision>
  <cp:lastPrinted>2011-02-15T23:00:00Z</cp:lastPrinted>
  <dcterms:created xsi:type="dcterms:W3CDTF">2011-02-15T22:39:00Z</dcterms:created>
  <dcterms:modified xsi:type="dcterms:W3CDTF">2011-03-07T16:36:00Z</dcterms:modified>
</cp:coreProperties>
</file>